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84" w:rsidRPr="003C473C" w:rsidRDefault="005F5C84" w:rsidP="003843CA">
      <w:pPr>
        <w:pStyle w:val="NoSpacing"/>
        <w:pageBreakBefore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5F5C84">
      <w:pPr>
        <w:pStyle w:val="NoSpacing"/>
        <w:jc w:val="center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CF1D29" w:rsidRDefault="005F5C84" w:rsidP="00C27C94">
      <w:pPr>
        <w:pStyle w:val="NoSpacing"/>
        <w:rPr>
          <w:rFonts w:cstheme="minorHAnsi"/>
        </w:rPr>
      </w:pPr>
    </w:p>
    <w:p w:rsidR="005F5C84" w:rsidRPr="00E26679" w:rsidRDefault="005F5C84" w:rsidP="005F5C84">
      <w:pPr>
        <w:pStyle w:val="NoSpacing"/>
        <w:jc w:val="center"/>
        <w:rPr>
          <w:rFonts w:cstheme="minorHAnsi"/>
          <w:b/>
          <w:bCs/>
          <w:sz w:val="48"/>
          <w:szCs w:val="48"/>
        </w:rPr>
      </w:pPr>
      <w:r w:rsidRPr="00E26679">
        <w:rPr>
          <w:rFonts w:cstheme="minorHAnsi"/>
          <w:b/>
          <w:bCs/>
          <w:sz w:val="48"/>
          <w:szCs w:val="48"/>
        </w:rPr>
        <w:t>VODIČA ZA INVESTITORE</w:t>
      </w:r>
    </w:p>
    <w:p w:rsidR="00EF4505" w:rsidRPr="00E26679" w:rsidRDefault="00EF4505" w:rsidP="005F5C84">
      <w:pPr>
        <w:pStyle w:val="NoSpacing"/>
        <w:jc w:val="center"/>
        <w:rPr>
          <w:rFonts w:cstheme="minorHAnsi"/>
          <w:b/>
          <w:bCs/>
          <w:sz w:val="48"/>
          <w:szCs w:val="48"/>
        </w:rPr>
      </w:pPr>
      <w:r w:rsidRPr="00E26679">
        <w:rPr>
          <w:rFonts w:cstheme="minorHAnsi"/>
          <w:b/>
          <w:bCs/>
          <w:sz w:val="48"/>
          <w:szCs w:val="48"/>
        </w:rPr>
        <w:t xml:space="preserve">GRAD VRANJE </w:t>
      </w:r>
    </w:p>
    <w:p w:rsidR="005F5C84" w:rsidRDefault="005F5C84" w:rsidP="00C27C94">
      <w:pPr>
        <w:pStyle w:val="NoSpacing"/>
        <w:rPr>
          <w:rFonts w:cstheme="minorHAnsi"/>
        </w:rPr>
      </w:pPr>
    </w:p>
    <w:p w:rsidR="00E26679" w:rsidRDefault="00E26679" w:rsidP="00C27C94">
      <w:pPr>
        <w:pStyle w:val="NoSpacing"/>
        <w:rPr>
          <w:rFonts w:cstheme="minorHAnsi"/>
        </w:rPr>
      </w:pPr>
    </w:p>
    <w:p w:rsidR="00E26679" w:rsidRPr="00CF1D29" w:rsidRDefault="00E26679" w:rsidP="00C27C94">
      <w:pPr>
        <w:pStyle w:val="NoSpacing"/>
        <w:rPr>
          <w:rFonts w:cstheme="minorHAnsi"/>
        </w:rPr>
      </w:pPr>
    </w:p>
    <w:p w:rsidR="008551F1" w:rsidRPr="00CF1D29" w:rsidRDefault="008551F1" w:rsidP="005F5C84">
      <w:pPr>
        <w:pStyle w:val="NoSpacing"/>
        <w:pageBreakBefore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CF1D29">
        <w:rPr>
          <w:rFonts w:cstheme="minorHAnsi"/>
          <w:b/>
          <w:bCs/>
          <w:sz w:val="24"/>
          <w:szCs w:val="24"/>
        </w:rPr>
        <w:lastRenderedPageBreak/>
        <w:t>Opšte informacije o opštini</w:t>
      </w:r>
    </w:p>
    <w:p w:rsidR="00641B93" w:rsidRDefault="00641B93" w:rsidP="00C27C94">
      <w:pPr>
        <w:pStyle w:val="NoSpacing"/>
        <w:rPr>
          <w:rFonts w:cstheme="minorHAnsi"/>
          <w:sz w:val="24"/>
          <w:szCs w:val="24"/>
        </w:rPr>
      </w:pPr>
    </w:p>
    <w:p w:rsidR="00E26679" w:rsidRDefault="00E26679" w:rsidP="00C27C94">
      <w:pPr>
        <w:pStyle w:val="NoSpacing"/>
        <w:rPr>
          <w:rFonts w:cstheme="minorHAnsi"/>
          <w:sz w:val="24"/>
          <w:szCs w:val="24"/>
        </w:rPr>
      </w:pPr>
    </w:p>
    <w:p w:rsidR="004B7EB9" w:rsidRDefault="004B7EB9" w:rsidP="004B7EB9">
      <w:pPr>
        <w:pStyle w:val="NoSpacing"/>
        <w:jc w:val="both"/>
        <w:rPr>
          <w:rFonts w:cstheme="minorHAnsi"/>
          <w:sz w:val="24"/>
          <w:szCs w:val="24"/>
        </w:rPr>
      </w:pPr>
      <w:r w:rsidRPr="00E26679">
        <w:rPr>
          <w:rFonts w:cstheme="minorHAnsi"/>
          <w:sz w:val="24"/>
          <w:szCs w:val="24"/>
        </w:rPr>
        <w:t xml:space="preserve">             </w:t>
      </w:r>
      <w:proofErr w:type="gramStart"/>
      <w:r w:rsidRPr="00E26679">
        <w:rPr>
          <w:rFonts w:cstheme="minorHAnsi"/>
          <w:sz w:val="24"/>
          <w:szCs w:val="24"/>
        </w:rPr>
        <w:t>Grad Vranje je administrativni, ekonomski, zdravstveni, obrazovni i kulturni centar Pčinjskog okruga.</w:t>
      </w:r>
      <w:proofErr w:type="gramEnd"/>
      <w:r w:rsidRPr="00E26679">
        <w:rPr>
          <w:rFonts w:cstheme="minorHAnsi"/>
          <w:sz w:val="24"/>
          <w:szCs w:val="24"/>
        </w:rPr>
        <w:t xml:space="preserve"> Graniči se </w:t>
      </w:r>
      <w:proofErr w:type="gramStart"/>
      <w:r w:rsidRPr="00E26679">
        <w:rPr>
          <w:rFonts w:cstheme="minorHAnsi"/>
          <w:sz w:val="24"/>
          <w:szCs w:val="24"/>
        </w:rPr>
        <w:t>sa</w:t>
      </w:r>
      <w:proofErr w:type="gramEnd"/>
      <w:r w:rsidRPr="00E26679">
        <w:rPr>
          <w:rFonts w:cstheme="minorHAnsi"/>
          <w:sz w:val="24"/>
          <w:szCs w:val="24"/>
        </w:rPr>
        <w:t xml:space="preserve"> 5 opština Pčinjskog okruga –</w:t>
      </w:r>
      <w:r w:rsidR="00DA05E2" w:rsidRPr="00E26679">
        <w:rPr>
          <w:rFonts w:cstheme="minorHAnsi"/>
          <w:sz w:val="24"/>
          <w:szCs w:val="24"/>
        </w:rPr>
        <w:t xml:space="preserve"> opštinama Vladičin Han,</w:t>
      </w:r>
      <w:r w:rsidRPr="00E26679">
        <w:rPr>
          <w:rFonts w:cstheme="minorHAnsi"/>
          <w:sz w:val="24"/>
          <w:szCs w:val="24"/>
        </w:rPr>
        <w:t xml:space="preserve"> S</w:t>
      </w:r>
      <w:r w:rsidR="00DA05E2" w:rsidRPr="00E26679">
        <w:rPr>
          <w:rFonts w:cstheme="minorHAnsi"/>
          <w:sz w:val="24"/>
          <w:szCs w:val="24"/>
        </w:rPr>
        <w:t xml:space="preserve">urdulica, Bosilegrad, kao i </w:t>
      </w:r>
      <w:r w:rsidRPr="00E26679">
        <w:rPr>
          <w:rFonts w:cstheme="minorHAnsi"/>
          <w:sz w:val="24"/>
          <w:szCs w:val="24"/>
        </w:rPr>
        <w:t>opštinama Bujanovac i Trgovište.</w:t>
      </w:r>
    </w:p>
    <w:p w:rsidR="00E26679" w:rsidRPr="00E26679" w:rsidRDefault="00E26679" w:rsidP="004B7EB9">
      <w:pPr>
        <w:pStyle w:val="NoSpacing"/>
        <w:jc w:val="both"/>
        <w:rPr>
          <w:rFonts w:cstheme="minorHAnsi"/>
          <w:sz w:val="24"/>
          <w:szCs w:val="24"/>
        </w:rPr>
      </w:pPr>
    </w:p>
    <w:p w:rsidR="004B7EB9" w:rsidRDefault="004B7EB9" w:rsidP="004B7EB9">
      <w:pPr>
        <w:pStyle w:val="NoSpacing"/>
        <w:jc w:val="both"/>
        <w:rPr>
          <w:rFonts w:cstheme="minorHAnsi"/>
          <w:sz w:val="24"/>
          <w:szCs w:val="24"/>
        </w:rPr>
      </w:pPr>
      <w:r w:rsidRPr="00E26679">
        <w:rPr>
          <w:rFonts w:cstheme="minorHAnsi"/>
          <w:sz w:val="24"/>
          <w:szCs w:val="24"/>
        </w:rPr>
        <w:t xml:space="preserve">             Teritorija grada Vranja zauzima površinu </w:t>
      </w:r>
      <w:proofErr w:type="gramStart"/>
      <w:r w:rsidRPr="00E26679">
        <w:rPr>
          <w:rFonts w:cstheme="minorHAnsi"/>
          <w:sz w:val="24"/>
          <w:szCs w:val="24"/>
        </w:rPr>
        <w:t>od</w:t>
      </w:r>
      <w:proofErr w:type="gramEnd"/>
      <w:r w:rsidRPr="00E26679">
        <w:rPr>
          <w:rFonts w:cstheme="minorHAnsi"/>
          <w:sz w:val="24"/>
          <w:szCs w:val="24"/>
        </w:rPr>
        <w:t xml:space="preserve"> 860 km², a sastoji se iz ukupno 105 naselja, gradskih naselja Vranje i Vranjska Banja i 1</w:t>
      </w:r>
      <w:r w:rsidR="00200B6B" w:rsidRPr="00E26679">
        <w:rPr>
          <w:rFonts w:cstheme="minorHAnsi"/>
          <w:sz w:val="24"/>
          <w:szCs w:val="24"/>
        </w:rPr>
        <w:t>03 seoska naselja</w:t>
      </w:r>
      <w:r w:rsidRPr="00E26679">
        <w:rPr>
          <w:rFonts w:cstheme="minorHAnsi"/>
          <w:sz w:val="24"/>
          <w:szCs w:val="24"/>
        </w:rPr>
        <w:t xml:space="preserve">. </w:t>
      </w:r>
      <w:proofErr w:type="gramStart"/>
      <w:r w:rsidRPr="00E26679">
        <w:rPr>
          <w:rFonts w:cstheme="minorHAnsi"/>
          <w:sz w:val="24"/>
          <w:szCs w:val="24"/>
        </w:rPr>
        <w:t>Vranjska Banja ima status Gradske opštine.</w:t>
      </w:r>
      <w:proofErr w:type="gramEnd"/>
    </w:p>
    <w:p w:rsidR="00E26679" w:rsidRPr="00E26679" w:rsidRDefault="00E26679" w:rsidP="004B7EB9">
      <w:pPr>
        <w:pStyle w:val="NoSpacing"/>
        <w:jc w:val="both"/>
        <w:rPr>
          <w:rFonts w:cstheme="minorHAnsi"/>
          <w:sz w:val="24"/>
          <w:szCs w:val="24"/>
        </w:rPr>
      </w:pPr>
    </w:p>
    <w:p w:rsidR="004B7EB9" w:rsidRDefault="004B7EB9" w:rsidP="004B7EB9">
      <w:pPr>
        <w:pStyle w:val="NoSpacing"/>
        <w:jc w:val="both"/>
        <w:rPr>
          <w:rFonts w:cstheme="minorHAnsi"/>
          <w:sz w:val="24"/>
          <w:szCs w:val="24"/>
        </w:rPr>
      </w:pPr>
      <w:r w:rsidRPr="00E26679">
        <w:rPr>
          <w:rFonts w:cstheme="minorHAnsi"/>
          <w:sz w:val="24"/>
          <w:szCs w:val="24"/>
        </w:rPr>
        <w:t xml:space="preserve">             </w:t>
      </w:r>
      <w:proofErr w:type="gramStart"/>
      <w:r w:rsidRPr="00E26679">
        <w:rPr>
          <w:rFonts w:cstheme="minorHAnsi"/>
          <w:sz w:val="24"/>
          <w:szCs w:val="24"/>
        </w:rPr>
        <w:t>Prema popisu stanovništva iz 2011.</w:t>
      </w:r>
      <w:proofErr w:type="gramEnd"/>
      <w:r w:rsidRPr="00E26679">
        <w:rPr>
          <w:rFonts w:cstheme="minorHAnsi"/>
          <w:sz w:val="24"/>
          <w:szCs w:val="24"/>
        </w:rPr>
        <w:t xml:space="preserve"> </w:t>
      </w:r>
      <w:proofErr w:type="gramStart"/>
      <w:r w:rsidRPr="00E26679">
        <w:rPr>
          <w:rFonts w:cstheme="minorHAnsi"/>
          <w:sz w:val="24"/>
          <w:szCs w:val="24"/>
        </w:rPr>
        <w:t>godine</w:t>
      </w:r>
      <w:proofErr w:type="gramEnd"/>
      <w:r w:rsidRPr="00E26679">
        <w:rPr>
          <w:rFonts w:cstheme="minorHAnsi"/>
          <w:sz w:val="24"/>
          <w:szCs w:val="24"/>
        </w:rPr>
        <w:t xml:space="preserve">, broj stanovnika na teritoriji grada je 83.524 stanovnika. </w:t>
      </w:r>
      <w:proofErr w:type="gramStart"/>
      <w:r w:rsidRPr="00E26679">
        <w:rPr>
          <w:rFonts w:cstheme="minorHAnsi"/>
          <w:sz w:val="24"/>
          <w:szCs w:val="24"/>
        </w:rPr>
        <w:t>Središte grada je gradsko naselje Vranje.</w:t>
      </w:r>
      <w:proofErr w:type="gramEnd"/>
      <w:r w:rsidRPr="00E26679">
        <w:rPr>
          <w:rFonts w:cstheme="minorHAnsi"/>
          <w:sz w:val="24"/>
          <w:szCs w:val="24"/>
        </w:rPr>
        <w:t xml:space="preserve"> Grad se nalazi u severozapadnom delu vranjske kotline, </w:t>
      </w:r>
      <w:proofErr w:type="gramStart"/>
      <w:r w:rsidRPr="00E26679">
        <w:rPr>
          <w:rFonts w:cstheme="minorHAnsi"/>
          <w:sz w:val="24"/>
          <w:szCs w:val="24"/>
        </w:rPr>
        <w:t>na</w:t>
      </w:r>
      <w:proofErr w:type="gramEnd"/>
      <w:r w:rsidRPr="00E26679">
        <w:rPr>
          <w:rFonts w:cstheme="minorHAnsi"/>
          <w:sz w:val="24"/>
          <w:szCs w:val="24"/>
        </w:rPr>
        <w:t xml:space="preserve"> levoj obali Južne Morave. </w:t>
      </w:r>
    </w:p>
    <w:p w:rsidR="00E26679" w:rsidRPr="00E26679" w:rsidRDefault="00E26679" w:rsidP="004B7EB9">
      <w:pPr>
        <w:pStyle w:val="NoSpacing"/>
        <w:jc w:val="both"/>
        <w:rPr>
          <w:rFonts w:cstheme="minorHAnsi"/>
          <w:sz w:val="24"/>
          <w:szCs w:val="24"/>
        </w:rPr>
      </w:pPr>
    </w:p>
    <w:p w:rsidR="004B7EB9" w:rsidRDefault="004B7EB9" w:rsidP="004B7EB9">
      <w:pPr>
        <w:pStyle w:val="NoSpacing"/>
        <w:jc w:val="both"/>
        <w:rPr>
          <w:rFonts w:cstheme="minorHAnsi"/>
          <w:sz w:val="24"/>
          <w:szCs w:val="24"/>
        </w:rPr>
      </w:pPr>
      <w:r w:rsidRPr="00E26679">
        <w:rPr>
          <w:rFonts w:cstheme="minorHAnsi"/>
          <w:sz w:val="24"/>
          <w:szCs w:val="24"/>
        </w:rPr>
        <w:t xml:space="preserve">             Kroz teritoriju grada Vranja prolazi glavni krak Salzburg-Solun panevro</w:t>
      </w:r>
      <w:r w:rsidR="00DA05E2" w:rsidRPr="00E26679">
        <w:rPr>
          <w:rFonts w:cstheme="minorHAnsi"/>
          <w:sz w:val="24"/>
          <w:szCs w:val="24"/>
        </w:rPr>
        <w:t>pskog saobraćajnog Koridora 10</w:t>
      </w:r>
      <w:r w:rsidRPr="00E26679">
        <w:rPr>
          <w:rFonts w:cstheme="minorHAnsi"/>
          <w:sz w:val="24"/>
          <w:szCs w:val="24"/>
        </w:rPr>
        <w:t xml:space="preserve">, koji predstavlja jednu </w:t>
      </w:r>
      <w:proofErr w:type="gramStart"/>
      <w:r w:rsidRPr="00E26679">
        <w:rPr>
          <w:rFonts w:cstheme="minorHAnsi"/>
          <w:sz w:val="24"/>
          <w:szCs w:val="24"/>
        </w:rPr>
        <w:t>od</w:t>
      </w:r>
      <w:proofErr w:type="gramEnd"/>
      <w:r w:rsidRPr="00E26679">
        <w:rPr>
          <w:rFonts w:cstheme="minorHAnsi"/>
          <w:sz w:val="24"/>
          <w:szCs w:val="24"/>
        </w:rPr>
        <w:t xml:space="preserve"> glavnih evropskih saobraćajnih arterija drumskog i železničkog saobraćaja. Granični prelazi </w:t>
      </w:r>
      <w:proofErr w:type="gramStart"/>
      <w:r w:rsidRPr="00E26679">
        <w:rPr>
          <w:rFonts w:cstheme="minorHAnsi"/>
          <w:sz w:val="24"/>
          <w:szCs w:val="24"/>
        </w:rPr>
        <w:t>sa</w:t>
      </w:r>
      <w:proofErr w:type="gramEnd"/>
      <w:r w:rsidRPr="00E26679">
        <w:rPr>
          <w:rFonts w:cstheme="minorHAnsi"/>
          <w:sz w:val="24"/>
          <w:szCs w:val="24"/>
        </w:rPr>
        <w:t xml:space="preserve"> </w:t>
      </w:r>
      <w:r w:rsidR="00B81C01" w:rsidRPr="00E26679">
        <w:rPr>
          <w:rFonts w:cstheme="minorHAnsi"/>
          <w:sz w:val="24"/>
          <w:szCs w:val="24"/>
        </w:rPr>
        <w:t xml:space="preserve">Severnom </w:t>
      </w:r>
      <w:r w:rsidRPr="00E26679">
        <w:rPr>
          <w:rFonts w:cstheme="minorHAnsi"/>
          <w:sz w:val="24"/>
          <w:szCs w:val="24"/>
        </w:rPr>
        <w:t>Makedonijom nalaze se na 35 km (Prohor Pčinjski) i 48 km (Čukarka), a sa Bugarskom 74 km (</w:t>
      </w:r>
      <w:r w:rsidR="00B81C01" w:rsidRPr="00E26679">
        <w:rPr>
          <w:rFonts w:cstheme="minorHAnsi"/>
          <w:sz w:val="24"/>
          <w:szCs w:val="24"/>
        </w:rPr>
        <w:t>Strezimirovce) i 115 km (Ribarci</w:t>
      </w:r>
      <w:r w:rsidRPr="00E26679">
        <w:rPr>
          <w:rFonts w:cstheme="minorHAnsi"/>
          <w:sz w:val="24"/>
          <w:szCs w:val="24"/>
        </w:rPr>
        <w:t>).</w:t>
      </w:r>
    </w:p>
    <w:p w:rsidR="00E26679" w:rsidRPr="00E26679" w:rsidRDefault="00E26679" w:rsidP="004B7EB9">
      <w:pPr>
        <w:pStyle w:val="NoSpacing"/>
        <w:jc w:val="both"/>
        <w:rPr>
          <w:rFonts w:cstheme="minorHAnsi"/>
          <w:sz w:val="24"/>
          <w:szCs w:val="24"/>
        </w:rPr>
      </w:pPr>
    </w:p>
    <w:p w:rsidR="004B7EB9" w:rsidRPr="00E26679" w:rsidRDefault="004B7EB9" w:rsidP="004B7EB9">
      <w:pPr>
        <w:pStyle w:val="NoSpacing"/>
        <w:jc w:val="both"/>
        <w:rPr>
          <w:rFonts w:cstheme="minorHAnsi"/>
          <w:sz w:val="24"/>
          <w:szCs w:val="24"/>
        </w:rPr>
      </w:pPr>
      <w:r w:rsidRPr="00E26679">
        <w:rPr>
          <w:rFonts w:cstheme="minorHAnsi"/>
          <w:sz w:val="24"/>
          <w:szCs w:val="24"/>
        </w:rPr>
        <w:t xml:space="preserve">Udaljenost Vranja </w:t>
      </w:r>
      <w:proofErr w:type="gramStart"/>
      <w:r w:rsidRPr="00E26679">
        <w:rPr>
          <w:rFonts w:cstheme="minorHAnsi"/>
          <w:sz w:val="24"/>
          <w:szCs w:val="24"/>
        </w:rPr>
        <w:t>od</w:t>
      </w:r>
      <w:proofErr w:type="gramEnd"/>
      <w:r w:rsidRPr="00E26679">
        <w:rPr>
          <w:rFonts w:cstheme="minorHAnsi"/>
          <w:sz w:val="24"/>
          <w:szCs w:val="24"/>
        </w:rPr>
        <w:t xml:space="preserve"> glavnih privrednih centara u zemlji i neposrednom okruženju je:    </w:t>
      </w:r>
    </w:p>
    <w:p w:rsidR="00200B6B" w:rsidRPr="00E26679" w:rsidRDefault="00200B6B" w:rsidP="00200B6B">
      <w:pPr>
        <w:pStyle w:val="NoSpacing"/>
        <w:jc w:val="both"/>
        <w:rPr>
          <w:rFonts w:cstheme="minorHAnsi"/>
          <w:sz w:val="24"/>
          <w:szCs w:val="24"/>
        </w:rPr>
      </w:pPr>
      <w:r w:rsidRPr="00E26679">
        <w:rPr>
          <w:rFonts w:cstheme="minorHAnsi"/>
          <w:sz w:val="24"/>
          <w:szCs w:val="24"/>
        </w:rPr>
        <w:t>Beograd - 347 km</w:t>
      </w:r>
      <w:r w:rsidRPr="00E26679">
        <w:rPr>
          <w:rFonts w:cstheme="minorHAnsi"/>
          <w:sz w:val="24"/>
          <w:szCs w:val="24"/>
        </w:rPr>
        <w:tab/>
        <w:t xml:space="preserve">Priština -115 km  </w:t>
      </w:r>
      <w:r w:rsidRPr="00E26679">
        <w:rPr>
          <w:rFonts w:cstheme="minorHAnsi"/>
          <w:sz w:val="24"/>
          <w:szCs w:val="24"/>
        </w:rPr>
        <w:tab/>
        <w:t xml:space="preserve"> Niš -120 km   </w:t>
      </w:r>
    </w:p>
    <w:p w:rsidR="00200B6B" w:rsidRDefault="00200B6B" w:rsidP="00200B6B">
      <w:pPr>
        <w:pStyle w:val="NoSpacing"/>
        <w:jc w:val="both"/>
        <w:rPr>
          <w:rFonts w:cstheme="minorHAnsi"/>
          <w:sz w:val="24"/>
          <w:szCs w:val="24"/>
          <w:lang w:val="de-CH"/>
        </w:rPr>
      </w:pPr>
      <w:r w:rsidRPr="00E26679">
        <w:rPr>
          <w:rFonts w:cstheme="minorHAnsi"/>
          <w:sz w:val="24"/>
          <w:szCs w:val="24"/>
          <w:lang w:val="de-CH"/>
        </w:rPr>
        <w:t xml:space="preserve">Skoplje - 95 km   </w:t>
      </w:r>
      <w:r w:rsidRPr="00E26679">
        <w:rPr>
          <w:rFonts w:cstheme="minorHAnsi"/>
          <w:sz w:val="24"/>
          <w:szCs w:val="24"/>
          <w:lang w:val="de-CH"/>
        </w:rPr>
        <w:tab/>
        <w:t>Solun - 300 km            Sofija - 215 km</w:t>
      </w:r>
    </w:p>
    <w:p w:rsidR="00E26679" w:rsidRPr="00E26679" w:rsidRDefault="00E26679" w:rsidP="00200B6B">
      <w:pPr>
        <w:pStyle w:val="NoSpacing"/>
        <w:jc w:val="both"/>
        <w:rPr>
          <w:rFonts w:cstheme="minorHAnsi"/>
          <w:sz w:val="24"/>
          <w:szCs w:val="24"/>
          <w:lang w:val="de-CH"/>
        </w:rPr>
      </w:pPr>
    </w:p>
    <w:p w:rsidR="004B7EB9" w:rsidRDefault="004B7EB9" w:rsidP="004B7EB9">
      <w:pPr>
        <w:pStyle w:val="NoSpacing"/>
        <w:jc w:val="both"/>
        <w:rPr>
          <w:rFonts w:cstheme="minorHAnsi"/>
          <w:sz w:val="24"/>
          <w:szCs w:val="24"/>
          <w:lang w:val="de-CH"/>
        </w:rPr>
      </w:pPr>
      <w:r w:rsidRPr="00E26679">
        <w:rPr>
          <w:rFonts w:cstheme="minorHAnsi"/>
          <w:sz w:val="24"/>
          <w:szCs w:val="24"/>
          <w:lang w:val="de-CH"/>
        </w:rPr>
        <w:t xml:space="preserve">             Pored lokacije na Koridoru 10, grad Vranje poseduje brojne razvojne prednosti – prirodni resursi, poput Vranjske Banje – najtoplije vode u Evropi, sa temperaturom vode 110stepeni Celzujusa, planine Besne kobile, izuzetnog hidro – potencijala, velikog broja sunčanih dana</w:t>
      </w:r>
      <w:r w:rsidR="00413AF6" w:rsidRPr="00E26679">
        <w:rPr>
          <w:rFonts w:cstheme="minorHAnsi"/>
          <w:sz w:val="24"/>
          <w:szCs w:val="24"/>
          <w:lang w:val="de-CH"/>
        </w:rPr>
        <w:t xml:space="preserve"> (276)</w:t>
      </w:r>
      <w:r w:rsidRPr="00E26679">
        <w:rPr>
          <w:rFonts w:cstheme="minorHAnsi"/>
          <w:sz w:val="24"/>
          <w:szCs w:val="24"/>
          <w:lang w:val="de-CH"/>
        </w:rPr>
        <w:t xml:space="preserve">, bogato kulturno – istorijsko nasleđe (prvi pisani trag o Vranju je iz </w:t>
      </w:r>
      <w:r w:rsidR="00413AF6" w:rsidRPr="00E26679">
        <w:rPr>
          <w:rFonts w:cstheme="minorHAnsi"/>
          <w:sz w:val="24"/>
          <w:szCs w:val="24"/>
          <w:lang w:val="de-CH"/>
        </w:rPr>
        <w:t>11.veka), ljudski resursi, bogata industrijska i izvozna tradicija, Slobodna zona Vranje, odgovorna i efikasna lokalna administracija i mnogi drugi.</w:t>
      </w:r>
    </w:p>
    <w:p w:rsidR="00E26679" w:rsidRPr="00E26679" w:rsidRDefault="00E26679" w:rsidP="004B7EB9">
      <w:pPr>
        <w:pStyle w:val="NoSpacing"/>
        <w:jc w:val="both"/>
        <w:rPr>
          <w:rFonts w:cstheme="minorHAnsi"/>
          <w:sz w:val="24"/>
          <w:szCs w:val="24"/>
          <w:lang w:val="de-CH"/>
        </w:rPr>
      </w:pPr>
    </w:p>
    <w:p w:rsidR="002A6180" w:rsidRDefault="00413AF6" w:rsidP="004B7EB9">
      <w:pPr>
        <w:pStyle w:val="NoSpacing"/>
        <w:jc w:val="both"/>
        <w:rPr>
          <w:rFonts w:cstheme="minorHAnsi"/>
          <w:sz w:val="24"/>
          <w:szCs w:val="24"/>
          <w:lang w:val="de-CH"/>
        </w:rPr>
      </w:pPr>
      <w:r w:rsidRPr="00E26679">
        <w:rPr>
          <w:rFonts w:cstheme="minorHAnsi"/>
          <w:sz w:val="24"/>
          <w:szCs w:val="24"/>
          <w:lang w:val="de-CH"/>
        </w:rPr>
        <w:t xml:space="preserve">            Grad Vranje je nosilac priznanja Fajnensel Tajmsa-FDI Magazina, u nekoliko navrata, i to za postojanje strategije za privlačenje investitora, kao i u oblasti isplativost ulaganja investitora.</w:t>
      </w:r>
    </w:p>
    <w:p w:rsidR="00E26679" w:rsidRPr="00E26679" w:rsidRDefault="00E26679" w:rsidP="004B7EB9">
      <w:pPr>
        <w:pStyle w:val="NoSpacing"/>
        <w:jc w:val="both"/>
        <w:rPr>
          <w:rFonts w:cstheme="minorHAnsi"/>
          <w:sz w:val="24"/>
          <w:szCs w:val="24"/>
          <w:lang w:val="de-CH"/>
        </w:rPr>
      </w:pPr>
    </w:p>
    <w:p w:rsidR="00E26679" w:rsidRDefault="002A6180" w:rsidP="00E26679">
      <w:pPr>
        <w:pStyle w:val="NoSpacing"/>
        <w:rPr>
          <w:sz w:val="24"/>
          <w:szCs w:val="24"/>
          <w:lang w:val="de-CH"/>
        </w:rPr>
      </w:pPr>
      <w:r w:rsidRPr="00E26679">
        <w:rPr>
          <w:lang w:val="de-CH"/>
        </w:rPr>
        <w:t xml:space="preserve">              </w:t>
      </w:r>
      <w:r w:rsidRPr="00E26679">
        <w:rPr>
          <w:sz w:val="24"/>
          <w:szCs w:val="24"/>
          <w:lang w:val="de-CH"/>
        </w:rPr>
        <w:t>Kada je reč o strukturi dijaspore, ista je veoma varijetetna kada je reč o obrazovnim profilima i godinama starosti i potrebno je dalje intenziviranje napora za snažnije povezivanje sa lokalnom samoupravom i zajednicom uopšte.</w:t>
      </w:r>
    </w:p>
    <w:p w:rsidR="00E26679" w:rsidRDefault="00E26679" w:rsidP="00E26679">
      <w:pPr>
        <w:pStyle w:val="NoSpacing"/>
        <w:rPr>
          <w:sz w:val="24"/>
          <w:szCs w:val="24"/>
          <w:lang w:val="de-CH"/>
        </w:rPr>
      </w:pPr>
    </w:p>
    <w:p w:rsidR="00E26679" w:rsidRDefault="00E26679" w:rsidP="00E26679">
      <w:pPr>
        <w:pStyle w:val="NoSpacing"/>
        <w:rPr>
          <w:sz w:val="24"/>
          <w:szCs w:val="24"/>
          <w:lang w:val="de-CH"/>
        </w:rPr>
      </w:pPr>
    </w:p>
    <w:p w:rsidR="00794DC4" w:rsidRDefault="00794DC4" w:rsidP="00E26679">
      <w:pPr>
        <w:pStyle w:val="NoSpacing"/>
        <w:rPr>
          <w:sz w:val="24"/>
          <w:szCs w:val="24"/>
          <w:lang w:val="de-CH"/>
        </w:rPr>
      </w:pPr>
    </w:p>
    <w:p w:rsidR="00794DC4" w:rsidRDefault="00794DC4" w:rsidP="00E26679">
      <w:pPr>
        <w:pStyle w:val="NoSpacing"/>
        <w:rPr>
          <w:sz w:val="24"/>
          <w:szCs w:val="24"/>
          <w:lang w:val="de-CH"/>
        </w:rPr>
      </w:pPr>
    </w:p>
    <w:p w:rsidR="00794DC4" w:rsidRDefault="00794DC4" w:rsidP="00E26679">
      <w:pPr>
        <w:pStyle w:val="NoSpacing"/>
        <w:rPr>
          <w:sz w:val="24"/>
          <w:szCs w:val="24"/>
          <w:lang w:val="de-CH"/>
        </w:rPr>
      </w:pPr>
    </w:p>
    <w:p w:rsidR="00794DC4" w:rsidRDefault="00794DC4" w:rsidP="00E26679">
      <w:pPr>
        <w:pStyle w:val="NoSpacing"/>
        <w:rPr>
          <w:sz w:val="24"/>
          <w:szCs w:val="24"/>
          <w:lang w:val="de-CH"/>
        </w:rPr>
      </w:pPr>
    </w:p>
    <w:p w:rsidR="00794DC4" w:rsidRDefault="00794DC4" w:rsidP="00E26679">
      <w:pPr>
        <w:pStyle w:val="NoSpacing"/>
        <w:rPr>
          <w:sz w:val="24"/>
          <w:szCs w:val="24"/>
          <w:lang w:val="de-CH"/>
        </w:rPr>
      </w:pPr>
    </w:p>
    <w:p w:rsidR="00E26679" w:rsidRDefault="00E26679" w:rsidP="00E26679">
      <w:pPr>
        <w:pStyle w:val="NoSpacing"/>
        <w:rPr>
          <w:sz w:val="24"/>
          <w:szCs w:val="24"/>
          <w:lang w:val="de-CH"/>
        </w:rPr>
      </w:pPr>
    </w:p>
    <w:p w:rsidR="00794DC4" w:rsidRDefault="00794DC4" w:rsidP="00E26679">
      <w:pPr>
        <w:pStyle w:val="NoSpacing"/>
        <w:rPr>
          <w:rFonts w:cstheme="minorHAnsi"/>
          <w:b/>
          <w:bCs/>
          <w:sz w:val="24"/>
          <w:szCs w:val="24"/>
        </w:rPr>
      </w:pPr>
    </w:p>
    <w:p w:rsidR="008551F1" w:rsidRPr="00CF1D29" w:rsidRDefault="008551F1" w:rsidP="00E26679">
      <w:pPr>
        <w:pStyle w:val="NoSpacing"/>
        <w:rPr>
          <w:rFonts w:cstheme="minorHAnsi"/>
          <w:b/>
          <w:bCs/>
          <w:sz w:val="24"/>
          <w:szCs w:val="24"/>
        </w:rPr>
      </w:pPr>
      <w:r w:rsidRPr="00CF1D29">
        <w:rPr>
          <w:rFonts w:cstheme="minorHAnsi"/>
          <w:b/>
          <w:bCs/>
          <w:sz w:val="24"/>
          <w:szCs w:val="24"/>
        </w:rPr>
        <w:t>Položaj opštine</w:t>
      </w:r>
    </w:p>
    <w:p w:rsidR="00413AF6" w:rsidRDefault="00413AF6" w:rsidP="00413AF6">
      <w:pPr>
        <w:pStyle w:val="NoSpacing"/>
        <w:jc w:val="both"/>
        <w:rPr>
          <w:rFonts w:cstheme="minorHAnsi"/>
          <w:color w:val="7030A0"/>
          <w:sz w:val="24"/>
          <w:szCs w:val="24"/>
        </w:rPr>
      </w:pPr>
    </w:p>
    <w:p w:rsidR="00794DC4" w:rsidRDefault="00794DC4" w:rsidP="00413AF6">
      <w:pPr>
        <w:pStyle w:val="NoSpacing"/>
        <w:jc w:val="both"/>
        <w:rPr>
          <w:rFonts w:cstheme="minorHAnsi"/>
          <w:color w:val="7030A0"/>
          <w:sz w:val="24"/>
          <w:szCs w:val="24"/>
        </w:rPr>
      </w:pPr>
    </w:p>
    <w:p w:rsidR="00794DC4" w:rsidRDefault="00794DC4" w:rsidP="00413AF6">
      <w:pPr>
        <w:pStyle w:val="NoSpacing"/>
        <w:jc w:val="both"/>
        <w:rPr>
          <w:rFonts w:cstheme="minorHAnsi"/>
          <w:color w:val="7030A0"/>
          <w:sz w:val="24"/>
          <w:szCs w:val="24"/>
        </w:rPr>
      </w:pPr>
    </w:p>
    <w:p w:rsidR="00413AF6" w:rsidRDefault="00413AF6" w:rsidP="00413AF6">
      <w:pPr>
        <w:pStyle w:val="NoSpacing"/>
        <w:jc w:val="both"/>
        <w:rPr>
          <w:rFonts w:cstheme="minorHAnsi"/>
          <w:sz w:val="24"/>
          <w:szCs w:val="24"/>
        </w:rPr>
      </w:pPr>
      <w:r w:rsidRPr="00E26679">
        <w:rPr>
          <w:rFonts w:cstheme="minorHAnsi"/>
          <w:sz w:val="24"/>
          <w:szCs w:val="24"/>
        </w:rPr>
        <w:t xml:space="preserve">           Kroz teritoriju grada Vranja prolazi glavni krak Salzburg-Solun panevropskog</w:t>
      </w:r>
      <w:r w:rsidR="002A6180" w:rsidRPr="00E26679">
        <w:rPr>
          <w:rFonts w:cstheme="minorHAnsi"/>
          <w:sz w:val="24"/>
          <w:szCs w:val="24"/>
        </w:rPr>
        <w:t xml:space="preserve"> saobraćajnog Koridora 10</w:t>
      </w:r>
      <w:r w:rsidRPr="00E26679">
        <w:rPr>
          <w:rFonts w:cstheme="minorHAnsi"/>
          <w:sz w:val="24"/>
          <w:szCs w:val="24"/>
        </w:rPr>
        <w:t xml:space="preserve">, koji predstavlja jednu </w:t>
      </w:r>
      <w:proofErr w:type="gramStart"/>
      <w:r w:rsidRPr="00E26679">
        <w:rPr>
          <w:rFonts w:cstheme="minorHAnsi"/>
          <w:sz w:val="24"/>
          <w:szCs w:val="24"/>
        </w:rPr>
        <w:t>od</w:t>
      </w:r>
      <w:proofErr w:type="gramEnd"/>
      <w:r w:rsidRPr="00E26679">
        <w:rPr>
          <w:rFonts w:cstheme="minorHAnsi"/>
          <w:sz w:val="24"/>
          <w:szCs w:val="24"/>
        </w:rPr>
        <w:t xml:space="preserve"> glavnih evropskih saobraćajnih arterija drumskog i železničkog saobraćaja. Granični prelazi </w:t>
      </w:r>
      <w:proofErr w:type="gramStart"/>
      <w:r w:rsidRPr="00E26679">
        <w:rPr>
          <w:rFonts w:cstheme="minorHAnsi"/>
          <w:sz w:val="24"/>
          <w:szCs w:val="24"/>
        </w:rPr>
        <w:t>sa</w:t>
      </w:r>
      <w:proofErr w:type="gramEnd"/>
      <w:r w:rsidRPr="00E26679">
        <w:rPr>
          <w:rFonts w:cstheme="minorHAnsi"/>
          <w:sz w:val="24"/>
          <w:szCs w:val="24"/>
        </w:rPr>
        <w:t xml:space="preserve"> </w:t>
      </w:r>
      <w:r w:rsidR="00E63001" w:rsidRPr="00E26679">
        <w:rPr>
          <w:rFonts w:cstheme="minorHAnsi"/>
          <w:sz w:val="24"/>
          <w:szCs w:val="24"/>
        </w:rPr>
        <w:t xml:space="preserve">Severnom </w:t>
      </w:r>
      <w:r w:rsidRPr="00E26679">
        <w:rPr>
          <w:rFonts w:cstheme="minorHAnsi"/>
          <w:sz w:val="24"/>
          <w:szCs w:val="24"/>
        </w:rPr>
        <w:t>Makedonijom nalaze se na 35 km (Prohor Pčinjski) i 48 km (Čukarka), a sa Bugarskom 74 km (</w:t>
      </w:r>
      <w:r w:rsidR="002A6180" w:rsidRPr="00E26679">
        <w:rPr>
          <w:rFonts w:cstheme="minorHAnsi"/>
          <w:sz w:val="24"/>
          <w:szCs w:val="24"/>
        </w:rPr>
        <w:t>Strezimirovce) i 115 km (Ribarci</w:t>
      </w:r>
      <w:r w:rsidRPr="00E26679">
        <w:rPr>
          <w:rFonts w:cstheme="minorHAnsi"/>
          <w:sz w:val="24"/>
          <w:szCs w:val="24"/>
        </w:rPr>
        <w:t>).</w:t>
      </w:r>
    </w:p>
    <w:p w:rsidR="00794DC4" w:rsidRPr="00E26679" w:rsidRDefault="00794DC4" w:rsidP="00413AF6">
      <w:pPr>
        <w:pStyle w:val="NoSpacing"/>
        <w:jc w:val="both"/>
        <w:rPr>
          <w:rFonts w:cstheme="minorHAnsi"/>
          <w:sz w:val="24"/>
          <w:szCs w:val="24"/>
        </w:rPr>
      </w:pPr>
    </w:p>
    <w:p w:rsidR="00413AF6" w:rsidRPr="00E26679" w:rsidRDefault="00413AF6" w:rsidP="00413AF6">
      <w:pPr>
        <w:pStyle w:val="NoSpacing"/>
        <w:jc w:val="both"/>
        <w:rPr>
          <w:rFonts w:cstheme="minorHAnsi"/>
          <w:sz w:val="24"/>
          <w:szCs w:val="24"/>
        </w:rPr>
      </w:pPr>
      <w:r w:rsidRPr="00E26679">
        <w:rPr>
          <w:rFonts w:cstheme="minorHAnsi"/>
          <w:sz w:val="24"/>
          <w:szCs w:val="24"/>
        </w:rPr>
        <w:t xml:space="preserve">          Udaljenost Vranja </w:t>
      </w:r>
      <w:proofErr w:type="gramStart"/>
      <w:r w:rsidRPr="00E26679">
        <w:rPr>
          <w:rFonts w:cstheme="minorHAnsi"/>
          <w:sz w:val="24"/>
          <w:szCs w:val="24"/>
        </w:rPr>
        <w:t>od</w:t>
      </w:r>
      <w:proofErr w:type="gramEnd"/>
      <w:r w:rsidRPr="00E26679">
        <w:rPr>
          <w:rFonts w:cstheme="minorHAnsi"/>
          <w:sz w:val="24"/>
          <w:szCs w:val="24"/>
        </w:rPr>
        <w:t xml:space="preserve"> glavnih privrednih centara u zemlji i neposrednom okruženju je:    </w:t>
      </w:r>
    </w:p>
    <w:p w:rsidR="00413AF6" w:rsidRPr="00E26679" w:rsidRDefault="00413AF6" w:rsidP="00413AF6">
      <w:pPr>
        <w:pStyle w:val="NoSpacing"/>
        <w:jc w:val="both"/>
        <w:rPr>
          <w:rFonts w:cstheme="minorHAnsi"/>
          <w:sz w:val="24"/>
          <w:szCs w:val="24"/>
        </w:rPr>
      </w:pPr>
      <w:r w:rsidRPr="00E26679">
        <w:rPr>
          <w:rFonts w:cstheme="minorHAnsi"/>
          <w:sz w:val="24"/>
          <w:szCs w:val="24"/>
        </w:rPr>
        <w:t>Beograd - 347 km</w:t>
      </w:r>
      <w:r w:rsidRPr="00E26679">
        <w:rPr>
          <w:rFonts w:cstheme="minorHAnsi"/>
          <w:sz w:val="24"/>
          <w:szCs w:val="24"/>
        </w:rPr>
        <w:tab/>
        <w:t xml:space="preserve">Priština -115 km  </w:t>
      </w:r>
      <w:r w:rsidRPr="00E26679">
        <w:rPr>
          <w:rFonts w:cstheme="minorHAnsi"/>
          <w:sz w:val="24"/>
          <w:szCs w:val="24"/>
        </w:rPr>
        <w:tab/>
        <w:t xml:space="preserve"> Niš -120 km   </w:t>
      </w:r>
    </w:p>
    <w:p w:rsidR="00413AF6" w:rsidRDefault="002A6180" w:rsidP="00413AF6">
      <w:pPr>
        <w:pStyle w:val="NoSpacing"/>
        <w:jc w:val="both"/>
        <w:rPr>
          <w:rFonts w:cstheme="minorHAnsi"/>
          <w:sz w:val="24"/>
          <w:szCs w:val="24"/>
          <w:lang w:val="de-CH"/>
        </w:rPr>
      </w:pPr>
      <w:r w:rsidRPr="00E26679">
        <w:rPr>
          <w:rFonts w:cstheme="minorHAnsi"/>
          <w:sz w:val="24"/>
          <w:szCs w:val="24"/>
          <w:lang w:val="de-CH"/>
        </w:rPr>
        <w:t>Skoplje - 95</w:t>
      </w:r>
      <w:r w:rsidR="00413AF6" w:rsidRPr="00E26679">
        <w:rPr>
          <w:rFonts w:cstheme="minorHAnsi"/>
          <w:sz w:val="24"/>
          <w:szCs w:val="24"/>
          <w:lang w:val="de-CH"/>
        </w:rPr>
        <w:t xml:space="preserve"> km   </w:t>
      </w:r>
      <w:r w:rsidRPr="00E26679">
        <w:rPr>
          <w:rFonts w:cstheme="minorHAnsi"/>
          <w:sz w:val="24"/>
          <w:szCs w:val="24"/>
          <w:lang w:val="de-CH"/>
        </w:rPr>
        <w:tab/>
        <w:t>Solun - 300</w:t>
      </w:r>
      <w:r w:rsidR="00413AF6" w:rsidRPr="00E26679">
        <w:rPr>
          <w:rFonts w:cstheme="minorHAnsi"/>
          <w:sz w:val="24"/>
          <w:szCs w:val="24"/>
          <w:lang w:val="de-CH"/>
        </w:rPr>
        <w:t xml:space="preserve"> km            Sofija - 215 km</w:t>
      </w:r>
    </w:p>
    <w:p w:rsidR="00794DC4" w:rsidRDefault="00794DC4" w:rsidP="00413AF6">
      <w:pPr>
        <w:pStyle w:val="NoSpacing"/>
        <w:jc w:val="both"/>
        <w:rPr>
          <w:rFonts w:cstheme="minorHAnsi"/>
          <w:sz w:val="24"/>
          <w:szCs w:val="24"/>
          <w:lang w:val="de-CH"/>
        </w:rPr>
      </w:pPr>
    </w:p>
    <w:p w:rsidR="00794DC4" w:rsidRDefault="00794DC4" w:rsidP="00413AF6">
      <w:pPr>
        <w:pStyle w:val="NoSpacing"/>
        <w:jc w:val="both"/>
        <w:rPr>
          <w:rFonts w:cstheme="minorHAnsi"/>
          <w:sz w:val="24"/>
          <w:szCs w:val="24"/>
          <w:lang w:val="de-CH"/>
        </w:rPr>
      </w:pPr>
    </w:p>
    <w:p w:rsidR="00794DC4" w:rsidRDefault="00794DC4" w:rsidP="00413AF6">
      <w:pPr>
        <w:pStyle w:val="NoSpacing"/>
        <w:jc w:val="both"/>
        <w:rPr>
          <w:rFonts w:cstheme="minorHAnsi"/>
          <w:sz w:val="24"/>
          <w:szCs w:val="24"/>
          <w:lang w:val="de-CH"/>
        </w:rPr>
      </w:pPr>
    </w:p>
    <w:p w:rsidR="00794DC4" w:rsidRDefault="00794DC4" w:rsidP="00413AF6">
      <w:pPr>
        <w:pStyle w:val="NoSpacing"/>
        <w:jc w:val="both"/>
        <w:rPr>
          <w:rFonts w:cstheme="minorHAnsi"/>
          <w:sz w:val="24"/>
          <w:szCs w:val="24"/>
          <w:lang w:val="de-CH"/>
        </w:rPr>
      </w:pPr>
    </w:p>
    <w:p w:rsidR="00794DC4" w:rsidRDefault="00794DC4" w:rsidP="00413AF6">
      <w:pPr>
        <w:pStyle w:val="NoSpacing"/>
        <w:jc w:val="both"/>
        <w:rPr>
          <w:rFonts w:cstheme="minorHAnsi"/>
          <w:sz w:val="24"/>
          <w:szCs w:val="24"/>
          <w:lang w:val="de-CH"/>
        </w:rPr>
      </w:pPr>
    </w:p>
    <w:p w:rsidR="00794DC4" w:rsidRDefault="00794DC4" w:rsidP="00413AF6">
      <w:pPr>
        <w:pStyle w:val="NoSpacing"/>
        <w:jc w:val="both"/>
        <w:rPr>
          <w:rFonts w:cstheme="minorHAnsi"/>
          <w:sz w:val="24"/>
          <w:szCs w:val="24"/>
          <w:lang w:val="de-CH"/>
        </w:rPr>
      </w:pPr>
    </w:p>
    <w:p w:rsidR="00794DC4" w:rsidRPr="00E26679" w:rsidRDefault="00794DC4" w:rsidP="00413AF6">
      <w:pPr>
        <w:pStyle w:val="NoSpacing"/>
        <w:jc w:val="both"/>
        <w:rPr>
          <w:rFonts w:cstheme="minorHAnsi"/>
          <w:sz w:val="24"/>
          <w:szCs w:val="24"/>
          <w:lang w:val="de-CH"/>
        </w:rPr>
      </w:pPr>
    </w:p>
    <w:p w:rsidR="00413AF6" w:rsidRPr="00DA05E2" w:rsidRDefault="00413AF6" w:rsidP="00C27C94">
      <w:pPr>
        <w:pStyle w:val="NoSpacing"/>
        <w:rPr>
          <w:rFonts w:cstheme="minorHAnsi"/>
          <w:sz w:val="24"/>
          <w:szCs w:val="24"/>
          <w:lang w:val="de-CH"/>
        </w:rPr>
      </w:pPr>
    </w:p>
    <w:p w:rsidR="008551F1" w:rsidRPr="00413AF6" w:rsidRDefault="00AE509D" w:rsidP="00413AF6">
      <w:r w:rsidRPr="00AE509D">
        <w:rPr>
          <w:noProof/>
        </w:rPr>
        <w:drawing>
          <wp:inline distT="0" distB="0" distL="0" distR="0">
            <wp:extent cx="2543175" cy="313524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463" t="22696" r="13032" b="1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3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F1" w:rsidRPr="00CF1D29" w:rsidRDefault="00A14E03" w:rsidP="005F5C84">
      <w:pPr>
        <w:pStyle w:val="NoSpacing"/>
        <w:pageBreakBefore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CF1D29">
        <w:rPr>
          <w:rFonts w:cstheme="minorHAnsi"/>
          <w:b/>
          <w:bCs/>
          <w:sz w:val="24"/>
          <w:szCs w:val="24"/>
        </w:rPr>
        <w:lastRenderedPageBreak/>
        <w:t xml:space="preserve">Demografija i ljudski resursi </w:t>
      </w:r>
    </w:p>
    <w:p w:rsidR="00EB0BF2" w:rsidRPr="00794DC4" w:rsidRDefault="00EB0BF2" w:rsidP="002C57FE">
      <w:pPr>
        <w:pStyle w:val="NoSpacing"/>
        <w:rPr>
          <w:rFonts w:cstheme="minorHAnsi"/>
          <w:i/>
          <w:iCs/>
          <w:sz w:val="24"/>
          <w:szCs w:val="24"/>
          <w:lang w:val="de-CH"/>
        </w:rPr>
      </w:pPr>
      <w:r w:rsidRPr="00794DC4">
        <w:rPr>
          <w:rFonts w:cstheme="minorHAnsi"/>
          <w:i/>
          <w:iCs/>
          <w:sz w:val="24"/>
          <w:szCs w:val="24"/>
          <w:lang w:val="de-CH"/>
        </w:rPr>
        <w:t>Kretanje broja stanovnika po Popisima 1948 - 2022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7"/>
        <w:gridCol w:w="1507"/>
        <w:gridCol w:w="1315"/>
        <w:gridCol w:w="1487"/>
        <w:gridCol w:w="1315"/>
        <w:gridCol w:w="1519"/>
        <w:gridCol w:w="1699"/>
      </w:tblGrid>
      <w:tr w:rsidR="00AE509D" w:rsidRPr="00794DC4" w:rsidTr="00AE509D">
        <w:trPr>
          <w:trHeight w:val="260"/>
        </w:trPr>
        <w:tc>
          <w:tcPr>
            <w:tcW w:w="52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rFonts w:cstheme="minorHAnsi"/>
              </w:rPr>
              <w:t>Godina</w:t>
            </w:r>
          </w:p>
        </w:tc>
        <w:tc>
          <w:tcPr>
            <w:tcW w:w="76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rFonts w:cstheme="minorHAnsi"/>
              </w:rPr>
              <w:t>Teritorija grada Vranja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rFonts w:cstheme="minorHAnsi"/>
              </w:rPr>
              <w:t>Gradska naselja</w:t>
            </w:r>
          </w:p>
        </w:tc>
        <w:tc>
          <w:tcPr>
            <w:tcW w:w="75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rFonts w:cstheme="minorHAnsi"/>
              </w:rPr>
              <w:t>% Stanovništva</w:t>
            </w:r>
            <w:r w:rsidR="009F43F8" w:rsidRPr="00794DC4">
              <w:rPr>
                <w:rFonts w:cstheme="minorHAnsi"/>
              </w:rPr>
              <w:t xml:space="preserve"> </w:t>
            </w:r>
            <w:r w:rsidRPr="00794DC4">
              <w:rPr>
                <w:rFonts w:cstheme="minorHAnsi"/>
              </w:rPr>
              <w:t>u gradskim naseljima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rFonts w:cstheme="minorHAnsi"/>
              </w:rPr>
              <w:t>Seoska naselja</w:t>
            </w:r>
          </w:p>
        </w:tc>
        <w:tc>
          <w:tcPr>
            <w:tcW w:w="768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rFonts w:cstheme="minorHAnsi"/>
              </w:rPr>
              <w:t>% Stanovništva u seoskim naseljima</w:t>
            </w:r>
          </w:p>
        </w:tc>
        <w:tc>
          <w:tcPr>
            <w:tcW w:w="85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rFonts w:cstheme="minorHAnsi"/>
              </w:rPr>
              <w:t>Broj domaćinstava</w:t>
            </w:r>
          </w:p>
        </w:tc>
      </w:tr>
      <w:tr w:rsidR="00AE509D" w:rsidRPr="00794DC4" w:rsidTr="00AE509D">
        <w:trPr>
          <w:trHeight w:val="91"/>
        </w:trPr>
        <w:tc>
          <w:tcPr>
            <w:tcW w:w="52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1948.</w:t>
            </w:r>
          </w:p>
        </w:tc>
        <w:tc>
          <w:tcPr>
            <w:tcW w:w="76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59.504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11.252</w:t>
            </w:r>
          </w:p>
        </w:tc>
        <w:tc>
          <w:tcPr>
            <w:tcW w:w="75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18,90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48.252</w:t>
            </w:r>
          </w:p>
        </w:tc>
        <w:tc>
          <w:tcPr>
            <w:tcW w:w="768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81,10</w:t>
            </w:r>
          </w:p>
        </w:tc>
        <w:tc>
          <w:tcPr>
            <w:tcW w:w="85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2.934</w:t>
            </w:r>
          </w:p>
        </w:tc>
      </w:tr>
      <w:tr w:rsidR="00AE509D" w:rsidRPr="00794DC4" w:rsidTr="00AE509D">
        <w:trPr>
          <w:trHeight w:val="6"/>
        </w:trPr>
        <w:tc>
          <w:tcPr>
            <w:tcW w:w="52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1953.</w:t>
            </w:r>
          </w:p>
        </w:tc>
        <w:tc>
          <w:tcPr>
            <w:tcW w:w="76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62.659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13.465</w:t>
            </w:r>
          </w:p>
        </w:tc>
        <w:tc>
          <w:tcPr>
            <w:tcW w:w="75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21,49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49.194</w:t>
            </w:r>
          </w:p>
        </w:tc>
        <w:tc>
          <w:tcPr>
            <w:tcW w:w="768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78,51</w:t>
            </w:r>
          </w:p>
        </w:tc>
        <w:tc>
          <w:tcPr>
            <w:tcW w:w="85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3.510</w:t>
            </w:r>
          </w:p>
        </w:tc>
      </w:tr>
      <w:tr w:rsidR="00AE509D" w:rsidRPr="00794DC4" w:rsidTr="00AE509D">
        <w:trPr>
          <w:trHeight w:val="89"/>
        </w:trPr>
        <w:tc>
          <w:tcPr>
            <w:tcW w:w="52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1961.</w:t>
            </w:r>
          </w:p>
        </w:tc>
        <w:tc>
          <w:tcPr>
            <w:tcW w:w="76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t>65</w:t>
            </w:r>
            <w:r w:rsidRPr="00794DC4">
              <w:rPr>
                <w:lang w:val="sr-Cyrl-CS"/>
              </w:rPr>
              <w:t>.</w:t>
            </w:r>
            <w:r w:rsidRPr="00794DC4">
              <w:t>367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17.999</w:t>
            </w:r>
          </w:p>
        </w:tc>
        <w:tc>
          <w:tcPr>
            <w:tcW w:w="75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27,53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47.368</w:t>
            </w:r>
          </w:p>
        </w:tc>
        <w:tc>
          <w:tcPr>
            <w:tcW w:w="768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72,47</w:t>
            </w:r>
          </w:p>
        </w:tc>
        <w:tc>
          <w:tcPr>
            <w:tcW w:w="85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5.098</w:t>
            </w:r>
          </w:p>
        </w:tc>
      </w:tr>
      <w:tr w:rsidR="00AE509D" w:rsidRPr="00794DC4" w:rsidTr="00AE509D">
        <w:trPr>
          <w:trHeight w:val="119"/>
        </w:trPr>
        <w:tc>
          <w:tcPr>
            <w:tcW w:w="52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1971.</w:t>
            </w:r>
          </w:p>
        </w:tc>
        <w:tc>
          <w:tcPr>
            <w:tcW w:w="76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t>72</w:t>
            </w:r>
            <w:r w:rsidRPr="00794DC4">
              <w:rPr>
                <w:lang w:val="sr-Cyrl-CS"/>
              </w:rPr>
              <w:t>.</w:t>
            </w:r>
            <w:r w:rsidRPr="00794DC4">
              <w:t>208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sr-Latn-CS"/>
              </w:rPr>
              <w:t>28</w:t>
            </w:r>
            <w:r w:rsidRPr="00794DC4">
              <w:rPr>
                <w:lang w:val="sr-Cyrl-CS"/>
              </w:rPr>
              <w:t>.</w:t>
            </w:r>
            <w:r w:rsidRPr="00794DC4">
              <w:rPr>
                <w:lang w:val="sr-Latn-CS"/>
              </w:rPr>
              <w:t>613</w:t>
            </w:r>
          </w:p>
        </w:tc>
        <w:tc>
          <w:tcPr>
            <w:tcW w:w="75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39,62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43.595</w:t>
            </w:r>
          </w:p>
        </w:tc>
        <w:tc>
          <w:tcPr>
            <w:tcW w:w="768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60,38</w:t>
            </w:r>
          </w:p>
        </w:tc>
        <w:tc>
          <w:tcPr>
            <w:tcW w:w="85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8.269</w:t>
            </w:r>
          </w:p>
        </w:tc>
      </w:tr>
      <w:tr w:rsidR="00AE509D" w:rsidRPr="00794DC4" w:rsidTr="00AE509D">
        <w:trPr>
          <w:trHeight w:val="6"/>
        </w:trPr>
        <w:tc>
          <w:tcPr>
            <w:tcW w:w="52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1981.</w:t>
            </w:r>
          </w:p>
        </w:tc>
        <w:tc>
          <w:tcPr>
            <w:tcW w:w="76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</w:pPr>
            <w:r w:rsidRPr="00794DC4">
              <w:t>82.527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sr-Latn-CS"/>
              </w:rPr>
            </w:pPr>
            <w:r w:rsidRPr="00794DC4">
              <w:rPr>
                <w:lang w:val="sr-Latn-CS"/>
              </w:rPr>
              <w:t>44</w:t>
            </w:r>
            <w:r w:rsidRPr="00794DC4">
              <w:rPr>
                <w:lang w:val="sr-Cyrl-CS"/>
              </w:rPr>
              <w:t>.</w:t>
            </w:r>
            <w:r w:rsidRPr="00794DC4">
              <w:rPr>
                <w:lang w:val="sr-Latn-CS"/>
              </w:rPr>
              <w:t>094</w:t>
            </w:r>
          </w:p>
        </w:tc>
        <w:tc>
          <w:tcPr>
            <w:tcW w:w="75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53,43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38.433</w:t>
            </w:r>
          </w:p>
        </w:tc>
        <w:tc>
          <w:tcPr>
            <w:tcW w:w="768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46,57</w:t>
            </w:r>
          </w:p>
        </w:tc>
        <w:tc>
          <w:tcPr>
            <w:tcW w:w="85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12.256</w:t>
            </w:r>
          </w:p>
        </w:tc>
      </w:tr>
      <w:tr w:rsidR="00AE509D" w:rsidRPr="00794DC4" w:rsidTr="00AE509D">
        <w:trPr>
          <w:trHeight w:val="6"/>
        </w:trPr>
        <w:tc>
          <w:tcPr>
            <w:tcW w:w="52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1991.</w:t>
            </w:r>
          </w:p>
        </w:tc>
        <w:tc>
          <w:tcPr>
            <w:tcW w:w="76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t>8</w:t>
            </w:r>
            <w:r w:rsidRPr="00794DC4">
              <w:rPr>
                <w:lang w:val="sr-Cyrl-CS"/>
              </w:rPr>
              <w:t>5.</w:t>
            </w:r>
            <w:r w:rsidRPr="00794DC4">
              <w:t>5</w:t>
            </w:r>
            <w:r w:rsidRPr="00794DC4">
              <w:rPr>
                <w:lang w:val="sr-Cyrl-CS"/>
              </w:rPr>
              <w:t>91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sr-Latn-CS"/>
              </w:rPr>
              <w:t>51</w:t>
            </w:r>
            <w:r w:rsidRPr="00794DC4">
              <w:rPr>
                <w:lang w:val="sr-Cyrl-CS"/>
              </w:rPr>
              <w:t>.</w:t>
            </w:r>
            <w:r w:rsidRPr="00794DC4">
              <w:rPr>
                <w:lang w:val="sr-Latn-CS"/>
              </w:rPr>
              <w:t>215</w:t>
            </w:r>
          </w:p>
        </w:tc>
        <w:tc>
          <w:tcPr>
            <w:tcW w:w="75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59,84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34.376</w:t>
            </w:r>
          </w:p>
        </w:tc>
        <w:tc>
          <w:tcPr>
            <w:tcW w:w="768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40,16</w:t>
            </w:r>
          </w:p>
        </w:tc>
        <w:tc>
          <w:tcPr>
            <w:tcW w:w="85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16.516</w:t>
            </w:r>
          </w:p>
        </w:tc>
      </w:tr>
      <w:tr w:rsidR="00AE509D" w:rsidRPr="00794DC4" w:rsidTr="00AE509D">
        <w:trPr>
          <w:trHeight w:val="70"/>
        </w:trPr>
        <w:tc>
          <w:tcPr>
            <w:tcW w:w="52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2002.</w:t>
            </w:r>
          </w:p>
        </w:tc>
        <w:tc>
          <w:tcPr>
            <w:tcW w:w="76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t>8</w:t>
            </w:r>
            <w:r w:rsidRPr="00794DC4">
              <w:rPr>
                <w:lang w:val="sr-Cyrl-CS"/>
              </w:rPr>
              <w:t>7.288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sr-Latn-CS"/>
              </w:rPr>
              <w:t>55</w:t>
            </w:r>
            <w:r w:rsidRPr="00794DC4">
              <w:rPr>
                <w:lang w:val="sr-Cyrl-CS"/>
              </w:rPr>
              <w:t>.</w:t>
            </w:r>
            <w:r w:rsidRPr="00794DC4">
              <w:rPr>
                <w:lang w:val="sr-Latn-CS"/>
              </w:rPr>
              <w:t>052</w:t>
            </w:r>
          </w:p>
        </w:tc>
        <w:tc>
          <w:tcPr>
            <w:tcW w:w="75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63,07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32.236</w:t>
            </w:r>
          </w:p>
        </w:tc>
        <w:tc>
          <w:tcPr>
            <w:tcW w:w="768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36,93</w:t>
            </w:r>
          </w:p>
        </w:tc>
        <w:tc>
          <w:tcPr>
            <w:tcW w:w="85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26.799</w:t>
            </w:r>
          </w:p>
        </w:tc>
      </w:tr>
      <w:tr w:rsidR="00AE509D" w:rsidRPr="00794DC4" w:rsidTr="00AE509D">
        <w:trPr>
          <w:trHeight w:val="70"/>
        </w:trPr>
        <w:tc>
          <w:tcPr>
            <w:tcW w:w="52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lang w:val="ru-RU"/>
              </w:rPr>
              <w:t>2011</w:t>
            </w:r>
          </w:p>
        </w:tc>
        <w:tc>
          <w:tcPr>
            <w:tcW w:w="76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</w:pPr>
            <w:r w:rsidRPr="00794DC4">
              <w:t>83.524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</w:pPr>
            <w:r w:rsidRPr="00794DC4">
              <w:t>60.485*</w:t>
            </w:r>
          </w:p>
        </w:tc>
        <w:tc>
          <w:tcPr>
            <w:tcW w:w="752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t>72,42</w:t>
            </w:r>
          </w:p>
        </w:tc>
        <w:tc>
          <w:tcPr>
            <w:tcW w:w="665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t>23.039</w:t>
            </w:r>
          </w:p>
        </w:tc>
        <w:tc>
          <w:tcPr>
            <w:tcW w:w="768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t>27,58</w:t>
            </w:r>
          </w:p>
        </w:tc>
        <w:tc>
          <w:tcPr>
            <w:tcW w:w="859" w:type="pct"/>
            <w:vAlign w:val="center"/>
          </w:tcPr>
          <w:p w:rsidR="00AE509D" w:rsidRPr="00794DC4" w:rsidRDefault="00AE509D" w:rsidP="009624AD">
            <w:pPr>
              <w:spacing w:after="0" w:line="240" w:lineRule="auto"/>
              <w:jc w:val="center"/>
              <w:rPr>
                <w:lang w:val="ru-RU"/>
              </w:rPr>
            </w:pPr>
            <w:r w:rsidRPr="00794DC4">
              <w:rPr>
                <w:rFonts w:eastAsia="ArialNarrow-Italic"/>
              </w:rPr>
              <w:t>25.839</w:t>
            </w:r>
          </w:p>
        </w:tc>
      </w:tr>
      <w:tr w:rsidR="00AE509D" w:rsidRPr="00794DC4" w:rsidTr="00AE509D">
        <w:trPr>
          <w:trHeight w:val="70"/>
        </w:trPr>
        <w:tc>
          <w:tcPr>
            <w:tcW w:w="529" w:type="pct"/>
            <w:vAlign w:val="center"/>
          </w:tcPr>
          <w:p w:rsidR="00AE509D" w:rsidRPr="00794DC4" w:rsidRDefault="009F43F8" w:rsidP="009624AD">
            <w:pPr>
              <w:spacing w:after="0" w:line="240" w:lineRule="auto"/>
              <w:jc w:val="center"/>
            </w:pPr>
            <w:r w:rsidRPr="00794DC4">
              <w:t>2022</w:t>
            </w:r>
            <w:r w:rsidR="00AE509D" w:rsidRPr="00794DC4">
              <w:t>*</w:t>
            </w:r>
          </w:p>
        </w:tc>
        <w:tc>
          <w:tcPr>
            <w:tcW w:w="4471" w:type="pct"/>
            <w:gridSpan w:val="6"/>
            <w:vAlign w:val="center"/>
          </w:tcPr>
          <w:p w:rsidR="00AE509D" w:rsidRPr="00794DC4" w:rsidRDefault="00AE509D" w:rsidP="00AE509D">
            <w:pPr>
              <w:spacing w:after="0" w:line="240" w:lineRule="auto"/>
              <w:rPr>
                <w:rFonts w:eastAsia="ArialNarrow-Italic"/>
              </w:rPr>
            </w:pPr>
            <w:r w:rsidRPr="00794DC4">
              <w:rPr>
                <w:rFonts w:eastAsia="ArialNarrow-Italic"/>
              </w:rPr>
              <w:t xml:space="preserve">Prvi podaci Popisa 2022 </w:t>
            </w:r>
            <w:proofErr w:type="gramStart"/>
            <w:r w:rsidRPr="00794DC4">
              <w:rPr>
                <w:rFonts w:eastAsia="ArialNarrow-Italic"/>
              </w:rPr>
              <w:t>-  na</w:t>
            </w:r>
            <w:proofErr w:type="gramEnd"/>
            <w:r w:rsidRPr="00794DC4">
              <w:rPr>
                <w:rFonts w:eastAsia="ArialNarrow-Italic"/>
              </w:rPr>
              <w:t xml:space="preserve"> teritoriji grada Vranja je ukupno 74.876 lica (67.250 stanovnika u Vranju i 7.626 lica u Vranjskoj Banji).</w:t>
            </w:r>
          </w:p>
        </w:tc>
      </w:tr>
    </w:tbl>
    <w:p w:rsidR="002C57FE" w:rsidRDefault="002C57FE" w:rsidP="00272969">
      <w:pPr>
        <w:spacing w:after="0" w:line="240" w:lineRule="auto"/>
      </w:pPr>
    </w:p>
    <w:p w:rsidR="007C19A3" w:rsidRPr="00794DC4" w:rsidRDefault="007C19A3" w:rsidP="007C19A3">
      <w:pPr>
        <w:spacing w:line="0" w:lineRule="atLeast"/>
        <w:jc w:val="both"/>
      </w:pPr>
      <w:r w:rsidRPr="00794DC4">
        <w:t xml:space="preserve">                                                                    Registrovana zaposlenost</w:t>
      </w:r>
      <w:r w:rsidR="00200B6B" w:rsidRPr="00794DC4">
        <w:t xml:space="preserve"> 2022</w:t>
      </w:r>
    </w:p>
    <w:tbl>
      <w:tblPr>
        <w:tblW w:w="9343" w:type="dxa"/>
        <w:tblInd w:w="97" w:type="dxa"/>
        <w:tblLook w:val="04A0"/>
      </w:tblPr>
      <w:tblGrid>
        <w:gridCol w:w="768"/>
        <w:gridCol w:w="1030"/>
        <w:gridCol w:w="1208"/>
        <w:gridCol w:w="1202"/>
        <w:gridCol w:w="1328"/>
        <w:gridCol w:w="1705"/>
        <w:gridCol w:w="2102"/>
      </w:tblGrid>
      <w:tr w:rsidR="007C19A3" w:rsidRPr="00794DC4" w:rsidTr="009624AD">
        <w:trPr>
          <w:trHeight w:val="252"/>
        </w:trPr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7C19A3" w:rsidP="009624A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94DC4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0D0861" w:rsidP="009624AD">
            <w:pPr>
              <w:jc w:val="center"/>
              <w:rPr>
                <w:b/>
                <w:bCs/>
                <w:sz w:val="18"/>
                <w:szCs w:val="18"/>
              </w:rPr>
            </w:pPr>
            <w:r w:rsidRPr="00794DC4">
              <w:rPr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6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7C19A3" w:rsidP="009624AD">
            <w:pPr>
              <w:jc w:val="center"/>
              <w:rPr>
                <w:b/>
                <w:bCs/>
                <w:sz w:val="18"/>
                <w:szCs w:val="18"/>
              </w:rPr>
            </w:pPr>
            <w:r w:rsidRPr="00794DC4">
              <w:rPr>
                <w:b/>
                <w:bCs/>
                <w:sz w:val="18"/>
                <w:szCs w:val="18"/>
              </w:rPr>
              <w:t>Registrovana zaposlenost prema opštini rada (NSTJ)</w:t>
            </w:r>
          </w:p>
        </w:tc>
      </w:tr>
      <w:tr w:rsidR="007C19A3" w:rsidRPr="00794DC4" w:rsidTr="009F43F8">
        <w:trPr>
          <w:trHeight w:val="1217"/>
        </w:trPr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3" w:rsidRPr="00794DC4" w:rsidRDefault="007C19A3" w:rsidP="009624AD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7C19A3" w:rsidP="009624AD">
            <w:pPr>
              <w:jc w:val="center"/>
              <w:rPr>
                <w:b/>
                <w:bCs/>
                <w:sz w:val="18"/>
                <w:szCs w:val="18"/>
              </w:rPr>
            </w:pPr>
            <w:r w:rsidRPr="00794DC4">
              <w:rPr>
                <w:b/>
                <w:bCs/>
                <w:sz w:val="18"/>
                <w:szCs w:val="18"/>
              </w:rPr>
              <w:t>Modalitet registrovane zaposlenosti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7C19A3" w:rsidP="008845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94DC4">
              <w:rPr>
                <w:b/>
                <w:bCs/>
                <w:sz w:val="18"/>
                <w:szCs w:val="18"/>
              </w:rPr>
              <w:t>Registrovana zaposlenost - ukupno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7C19A3" w:rsidP="008845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94DC4">
              <w:rPr>
                <w:b/>
                <w:bCs/>
                <w:sz w:val="18"/>
                <w:szCs w:val="18"/>
              </w:rPr>
              <w:t>Zaposleni u pravnim licima (u radnom odnosu i van radnog odnosa)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7C19A3" w:rsidP="008845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94DC4">
              <w:rPr>
                <w:b/>
                <w:bCs/>
                <w:sz w:val="18"/>
                <w:szCs w:val="18"/>
              </w:rPr>
              <w:t>Preduzetnici i zaposleni kod njih i lica koja samostalno obavljaju delatnost (u radnom odnosu i van radnog odnosa)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7C19A3" w:rsidP="0088451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94DC4">
              <w:rPr>
                <w:b/>
                <w:bCs/>
                <w:sz w:val="18"/>
                <w:szCs w:val="18"/>
              </w:rPr>
              <w:t>Registrovani induvidualni poljoprivrednici</w:t>
            </w:r>
          </w:p>
        </w:tc>
      </w:tr>
      <w:tr w:rsidR="007C19A3" w:rsidRPr="00794DC4" w:rsidTr="00884511">
        <w:trPr>
          <w:trHeight w:val="58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0D0861" w:rsidP="0088451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4DC4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0D0861" w:rsidP="0088451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4DC4">
              <w:rPr>
                <w:b/>
                <w:bCs/>
                <w:sz w:val="20"/>
                <w:szCs w:val="20"/>
              </w:rPr>
              <w:t>Teritorija - NSTJ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7C19A3" w:rsidP="00884511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94D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3" w:rsidRPr="00794DC4" w:rsidRDefault="007C19A3" w:rsidP="009624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3" w:rsidRPr="00794DC4" w:rsidRDefault="007C19A3" w:rsidP="009624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3" w:rsidRPr="00794DC4" w:rsidRDefault="007C19A3" w:rsidP="009624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3" w:rsidRPr="00794DC4" w:rsidRDefault="007C19A3" w:rsidP="009624A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19A3" w:rsidRPr="00794DC4" w:rsidTr="009F43F8">
        <w:trPr>
          <w:trHeight w:val="252"/>
        </w:trPr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200B6B" w:rsidP="0096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94DC4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0D0861" w:rsidP="009624AD">
            <w:pPr>
              <w:jc w:val="center"/>
              <w:rPr>
                <w:b/>
                <w:bCs/>
                <w:sz w:val="18"/>
                <w:szCs w:val="18"/>
              </w:rPr>
            </w:pPr>
            <w:r w:rsidRPr="00794DC4">
              <w:rPr>
                <w:b/>
                <w:bCs/>
                <w:sz w:val="18"/>
                <w:szCs w:val="18"/>
              </w:rPr>
              <w:t>Grad Vranje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21.188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17.770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3.362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56</w:t>
            </w:r>
          </w:p>
        </w:tc>
      </w:tr>
      <w:tr w:rsidR="007C19A3" w:rsidRPr="00794DC4" w:rsidTr="009F43F8">
        <w:trPr>
          <w:trHeight w:val="252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3" w:rsidRPr="00794DC4" w:rsidRDefault="007C19A3" w:rsidP="0096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0D0861" w:rsidP="009624AD">
            <w:pPr>
              <w:jc w:val="center"/>
              <w:rPr>
                <w:b/>
                <w:bCs/>
                <w:sz w:val="18"/>
                <w:szCs w:val="18"/>
              </w:rPr>
            </w:pPr>
            <w:r w:rsidRPr="00794DC4">
              <w:rPr>
                <w:b/>
                <w:bCs/>
                <w:sz w:val="18"/>
                <w:szCs w:val="18"/>
              </w:rPr>
              <w:t>Vranje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19.657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16.478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3.130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48</w:t>
            </w:r>
          </w:p>
        </w:tc>
      </w:tr>
      <w:tr w:rsidR="007C19A3" w:rsidRPr="00794DC4" w:rsidTr="009F43F8">
        <w:trPr>
          <w:trHeight w:val="252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3" w:rsidRPr="00794DC4" w:rsidRDefault="007C19A3" w:rsidP="0096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3" w:rsidRPr="00794DC4" w:rsidRDefault="000D0861" w:rsidP="009624AD">
            <w:pPr>
              <w:jc w:val="center"/>
              <w:rPr>
                <w:b/>
                <w:bCs/>
                <w:sz w:val="18"/>
                <w:szCs w:val="18"/>
              </w:rPr>
            </w:pPr>
            <w:r w:rsidRPr="00794DC4">
              <w:rPr>
                <w:b/>
                <w:bCs/>
                <w:sz w:val="18"/>
                <w:szCs w:val="18"/>
              </w:rPr>
              <w:t>Vranjska Banja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1.531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1.292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231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3" w:rsidRPr="00794DC4" w:rsidRDefault="00200B6B" w:rsidP="009624AD">
            <w:pPr>
              <w:jc w:val="right"/>
              <w:rPr>
                <w:sz w:val="20"/>
                <w:szCs w:val="20"/>
              </w:rPr>
            </w:pPr>
            <w:r w:rsidRPr="00794DC4">
              <w:rPr>
                <w:sz w:val="20"/>
                <w:szCs w:val="20"/>
              </w:rPr>
              <w:t>8</w:t>
            </w:r>
          </w:p>
        </w:tc>
      </w:tr>
    </w:tbl>
    <w:p w:rsidR="007C19A3" w:rsidRPr="00794DC4" w:rsidRDefault="00200B6B" w:rsidP="007C19A3">
      <w:pPr>
        <w:jc w:val="both"/>
        <w:rPr>
          <w:sz w:val="18"/>
          <w:szCs w:val="18"/>
          <w:lang w:val="de-CH"/>
        </w:rPr>
      </w:pPr>
      <w:r w:rsidRPr="00794DC4">
        <w:rPr>
          <w:lang w:val="de-CH"/>
        </w:rPr>
        <w:t>Izvor: Republičk</w:t>
      </w:r>
      <w:r w:rsidR="000D0861" w:rsidRPr="00794DC4">
        <w:rPr>
          <w:lang w:val="de-CH"/>
        </w:rPr>
        <w:t>i zavod za statistiku</w:t>
      </w:r>
      <w:r w:rsidR="007C19A3" w:rsidRPr="00794DC4">
        <w:rPr>
          <w:lang w:val="de-CH"/>
        </w:rPr>
        <w:t xml:space="preserve"> </w:t>
      </w:r>
      <w:hyperlink r:id="rId9" w:history="1">
        <w:r w:rsidR="007C19A3" w:rsidRPr="00794DC4">
          <w:rPr>
            <w:rStyle w:val="Hyperlink"/>
            <w:color w:val="auto"/>
            <w:sz w:val="18"/>
            <w:szCs w:val="18"/>
            <w:lang w:val="de-CH"/>
          </w:rPr>
          <w:t>https://data.stat.gov.rs/Home/Result/240204?languageCode=sr-Cyrl</w:t>
        </w:r>
      </w:hyperlink>
      <w:r w:rsidR="007C19A3" w:rsidRPr="00794DC4">
        <w:rPr>
          <w:sz w:val="18"/>
          <w:szCs w:val="18"/>
          <w:lang w:val="de-CH"/>
        </w:rPr>
        <w:t xml:space="preserve"> </w:t>
      </w:r>
    </w:p>
    <w:p w:rsidR="009F43F8" w:rsidRPr="00794DC4" w:rsidRDefault="009F43F8" w:rsidP="009F43F8">
      <w:pPr>
        <w:spacing w:after="0" w:line="240" w:lineRule="auto"/>
        <w:jc w:val="both"/>
        <w:rPr>
          <w:lang w:val="de-CH"/>
        </w:rPr>
      </w:pPr>
      <w:r w:rsidRPr="00794DC4">
        <w:rPr>
          <w:lang w:val="de-CH"/>
        </w:rPr>
        <w:t xml:space="preserve">Prema podacima Nacionalne službe za zapošljavanje – filijala Vranje, na teritoriji grada Vranja, u </w:t>
      </w:r>
      <w:r w:rsidRPr="00794DC4">
        <w:rPr>
          <w:b/>
          <w:lang w:val="de-CH"/>
        </w:rPr>
        <w:t>novembru 2022.godine</w:t>
      </w:r>
      <w:r w:rsidRPr="00794DC4">
        <w:rPr>
          <w:lang w:val="de-CH"/>
        </w:rPr>
        <w:t xml:space="preserve"> je 5.822 lica (3.240 je žena). Od ovog broja, 1.603 lica (od čega je 951 žena) je sa IV stepenom stručne spreme (oko 27% ukupnog broja nezaposlenih).</w:t>
      </w:r>
    </w:p>
    <w:p w:rsidR="008551F1" w:rsidRPr="009F43F8" w:rsidRDefault="009F43F8" w:rsidP="009F43F8">
      <w:r w:rsidRPr="009F43F8">
        <w:rPr>
          <w:noProof/>
        </w:rPr>
        <w:drawing>
          <wp:inline distT="0" distB="0" distL="0" distR="0">
            <wp:extent cx="6610350" cy="151447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51F1" w:rsidRPr="00CF1D29" w:rsidRDefault="008551F1" w:rsidP="005F5C84">
      <w:pPr>
        <w:pStyle w:val="NoSpacing"/>
        <w:pageBreakBefore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CF1D29">
        <w:rPr>
          <w:rFonts w:cstheme="minorHAnsi"/>
          <w:b/>
          <w:bCs/>
          <w:sz w:val="24"/>
          <w:szCs w:val="24"/>
        </w:rPr>
        <w:lastRenderedPageBreak/>
        <w:t>Privreda</w:t>
      </w:r>
    </w:p>
    <w:p w:rsidR="005F5C84" w:rsidRPr="00CF1D29" w:rsidRDefault="005F5C84" w:rsidP="00A14E03">
      <w:pPr>
        <w:pStyle w:val="NoSpacing"/>
        <w:rPr>
          <w:rFonts w:cstheme="minorHAnsi"/>
          <w:i/>
          <w:iCs/>
          <w:color w:val="4472C4" w:themeColor="accent1"/>
          <w:sz w:val="24"/>
          <w:szCs w:val="24"/>
        </w:rPr>
      </w:pPr>
    </w:p>
    <w:p w:rsidR="001E4CC1" w:rsidRDefault="001E4CC1" w:rsidP="001E4CC1">
      <w:pPr>
        <w:pStyle w:val="NoSpacing"/>
        <w:rPr>
          <w:rFonts w:cstheme="minorHAnsi"/>
          <w:sz w:val="24"/>
          <w:szCs w:val="24"/>
        </w:rPr>
      </w:pPr>
    </w:p>
    <w:p w:rsidR="001E4CC1" w:rsidRPr="00794DC4" w:rsidRDefault="001E4CC1" w:rsidP="001E4CC1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            </w:t>
      </w:r>
      <w:r w:rsidRPr="00794DC4">
        <w:rPr>
          <w:rFonts w:cstheme="minorHAnsi"/>
          <w:sz w:val="24"/>
          <w:szCs w:val="24"/>
        </w:rPr>
        <w:t>Prema podacima Agencije za privredne registre</w:t>
      </w:r>
      <w:r w:rsidRPr="001E4CC1">
        <w:rPr>
          <w:rFonts w:cstheme="minorHAnsi"/>
          <w:color w:val="7030A0"/>
          <w:sz w:val="24"/>
          <w:szCs w:val="24"/>
        </w:rPr>
        <w:t xml:space="preserve"> </w:t>
      </w:r>
      <w:hyperlink r:id="rId11" w:history="1">
        <w:r w:rsidRPr="00E6588D">
          <w:rPr>
            <w:rStyle w:val="Hyperlink"/>
            <w:rFonts w:cstheme="minorHAnsi"/>
            <w:sz w:val="24"/>
            <w:szCs w:val="24"/>
          </w:rPr>
          <w:t>https://pretraga2.apr.gov.rs/APRMapePodsticaja/</w:t>
        </w:r>
      </w:hyperlink>
      <w:r>
        <w:rPr>
          <w:rFonts w:cstheme="minorHAnsi"/>
          <w:color w:val="7030A0"/>
          <w:sz w:val="24"/>
          <w:szCs w:val="24"/>
        </w:rPr>
        <w:t xml:space="preserve"> </w:t>
      </w:r>
      <w:r w:rsidRPr="001E4CC1">
        <w:rPr>
          <w:rFonts w:cstheme="minorHAnsi"/>
          <w:color w:val="7030A0"/>
          <w:sz w:val="24"/>
          <w:szCs w:val="24"/>
        </w:rPr>
        <w:t xml:space="preserve"> </w:t>
      </w:r>
      <w:proofErr w:type="gramStart"/>
      <w:r w:rsidRPr="00794DC4">
        <w:rPr>
          <w:rFonts w:cstheme="minorHAnsi"/>
          <w:sz w:val="24"/>
          <w:szCs w:val="24"/>
        </w:rPr>
        <w:t>na</w:t>
      </w:r>
      <w:proofErr w:type="gramEnd"/>
      <w:r w:rsidRPr="00794DC4">
        <w:rPr>
          <w:rFonts w:cstheme="minorHAnsi"/>
          <w:sz w:val="24"/>
          <w:szCs w:val="24"/>
        </w:rPr>
        <w:t xml:space="preserve"> teritoriji grada Vranja u 2022.godini je 1.119 aktivnih privrednih društava i 2.640 aktivnih preduzetnika.</w:t>
      </w:r>
    </w:p>
    <w:p w:rsidR="001E4CC1" w:rsidRPr="00794DC4" w:rsidRDefault="001E4CC1" w:rsidP="001E4CC1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</w:t>
      </w:r>
      <w:proofErr w:type="gramStart"/>
      <w:r w:rsidRPr="00794DC4">
        <w:rPr>
          <w:rFonts w:cstheme="minorHAnsi"/>
          <w:sz w:val="24"/>
          <w:szCs w:val="24"/>
        </w:rPr>
        <w:t>Podaci u periodu 2019-2022.</w:t>
      </w:r>
      <w:proofErr w:type="gramEnd"/>
      <w:r w:rsidRPr="00794DC4">
        <w:rPr>
          <w:rFonts w:cstheme="minorHAnsi"/>
          <w:sz w:val="24"/>
          <w:szCs w:val="24"/>
        </w:rPr>
        <w:t xml:space="preserve"> </w:t>
      </w:r>
      <w:proofErr w:type="gramStart"/>
      <w:r w:rsidRPr="00794DC4">
        <w:rPr>
          <w:rFonts w:cstheme="minorHAnsi"/>
          <w:sz w:val="24"/>
          <w:szCs w:val="24"/>
        </w:rPr>
        <w:t>ukazuju</w:t>
      </w:r>
      <w:proofErr w:type="gramEnd"/>
      <w:r w:rsidRPr="00794DC4">
        <w:rPr>
          <w:rFonts w:cstheme="minorHAnsi"/>
          <w:sz w:val="24"/>
          <w:szCs w:val="24"/>
        </w:rPr>
        <w:t xml:space="preserve"> na trend porasta broja privrednih subjekata (privrednih društava i preduzetničkih radnji), na teritoriji grada Vranja (sa Gradskom opštinom Vranjska Banja).</w:t>
      </w:r>
    </w:p>
    <w:p w:rsidR="001E4CC1" w:rsidRPr="00794DC4" w:rsidRDefault="001E4CC1" w:rsidP="001E4CC1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U strukturi privrede dominira MSP sektor, </w:t>
      </w:r>
      <w:proofErr w:type="gramStart"/>
      <w:r w:rsidRPr="00794DC4">
        <w:rPr>
          <w:rFonts w:cstheme="minorHAnsi"/>
          <w:sz w:val="24"/>
          <w:szCs w:val="24"/>
        </w:rPr>
        <w:t>sa</w:t>
      </w:r>
      <w:proofErr w:type="gramEnd"/>
      <w:r w:rsidRPr="00794DC4">
        <w:rPr>
          <w:rFonts w:cstheme="minorHAnsi"/>
          <w:sz w:val="24"/>
          <w:szCs w:val="24"/>
        </w:rPr>
        <w:t xml:space="preserve"> većom zastupljenošću tradicionalnih industrijskih grana – proizvodnja nameštaja, tekstilna industrija, industrija obuće, mašinska industrija, prehrambena industrija itd.</w:t>
      </w:r>
    </w:p>
    <w:p w:rsidR="001E4CC1" w:rsidRPr="00794DC4" w:rsidRDefault="001E4CC1" w:rsidP="001E4CC1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 Značajan faktor daljeg razvoja privredne strukture i rasta broja privrednih subjekata je i uspostavljanje i infrastrukturno opremanje Slobodne zone u Bunuševcu, sa preko 100ha grinfild lokacija u vlasništvu grada Vranja, dok je braunfild kapacitet površine oko 48.000m2 u okviru Jumka, u nadležnosti Republičke direkcije za imovinu.</w:t>
      </w:r>
    </w:p>
    <w:p w:rsidR="001E4CC1" w:rsidRPr="00794DC4" w:rsidRDefault="001E4CC1" w:rsidP="001E4CC1">
      <w:pPr>
        <w:pStyle w:val="NoSpacing"/>
        <w:jc w:val="both"/>
        <w:rPr>
          <w:rFonts w:cstheme="minorHAnsi"/>
          <w:sz w:val="24"/>
          <w:szCs w:val="24"/>
        </w:rPr>
      </w:pPr>
      <w:proofErr w:type="gramStart"/>
      <w:r w:rsidRPr="00794DC4">
        <w:rPr>
          <w:rFonts w:cstheme="minorHAnsi"/>
          <w:sz w:val="24"/>
          <w:szCs w:val="24"/>
        </w:rPr>
        <w:t>Poslovanje u režimu slobodne zone obuhvata čitav niz carinskih, fiskalnih, finansijskih, logističkih i administrativnih olakšica za poslovne subjekte u režimu slobodne zone.</w:t>
      </w:r>
      <w:proofErr w:type="gramEnd"/>
    </w:p>
    <w:p w:rsidR="001E4CC1" w:rsidRPr="00794DC4" w:rsidRDefault="001E4CC1" w:rsidP="001E4CC1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>Slobodnom zonom upravlja Privredno društvo „Slobodna zona Vranje</w:t>
      </w:r>
      <w:proofErr w:type="gramStart"/>
      <w:r w:rsidRPr="00794DC4">
        <w:rPr>
          <w:rFonts w:cstheme="minorHAnsi"/>
          <w:sz w:val="24"/>
          <w:szCs w:val="24"/>
        </w:rPr>
        <w:t>“</w:t>
      </w:r>
      <w:r w:rsidRPr="001E4CC1">
        <w:rPr>
          <w:rFonts w:cstheme="minorHAnsi"/>
          <w:color w:val="7030A0"/>
          <w:sz w:val="24"/>
          <w:szCs w:val="24"/>
        </w:rPr>
        <w:t xml:space="preserve"> </w:t>
      </w:r>
      <w:proofErr w:type="gramEnd"/>
      <w:r w:rsidR="00BA3367">
        <w:fldChar w:fldCharType="begin"/>
      </w:r>
      <w:r w:rsidR="00D2393F">
        <w:instrText>HYPERLINK "http://www.freezonevranje.com/"</w:instrText>
      </w:r>
      <w:r w:rsidR="00BA3367">
        <w:fldChar w:fldCharType="separate"/>
      </w:r>
      <w:r w:rsidR="00AF7B70" w:rsidRPr="00233C51">
        <w:rPr>
          <w:rStyle w:val="Hyperlink"/>
          <w:rFonts w:cstheme="minorHAnsi"/>
          <w:sz w:val="24"/>
          <w:szCs w:val="24"/>
        </w:rPr>
        <w:t>http://www.freezonevranje.com/</w:t>
      </w:r>
      <w:r w:rsidR="00BA3367">
        <w:fldChar w:fldCharType="end"/>
      </w:r>
      <w:r>
        <w:rPr>
          <w:rFonts w:cstheme="minorHAnsi"/>
          <w:color w:val="7030A0"/>
          <w:sz w:val="24"/>
          <w:szCs w:val="24"/>
        </w:rPr>
        <w:t xml:space="preserve">. </w:t>
      </w:r>
      <w:proofErr w:type="gramStart"/>
      <w:r w:rsidRPr="00794DC4">
        <w:rPr>
          <w:rFonts w:cstheme="minorHAnsi"/>
          <w:sz w:val="24"/>
          <w:szCs w:val="24"/>
        </w:rPr>
        <w:t>Na teritoriji zone</w:t>
      </w:r>
      <w:r w:rsidR="00AF7B70" w:rsidRPr="00794DC4">
        <w:rPr>
          <w:rFonts w:cstheme="minorHAnsi"/>
          <w:sz w:val="24"/>
          <w:szCs w:val="24"/>
        </w:rPr>
        <w:t xml:space="preserve"> u Vranju</w:t>
      </w:r>
      <w:r w:rsidRPr="00794DC4">
        <w:rPr>
          <w:rFonts w:cstheme="minorHAnsi"/>
          <w:sz w:val="24"/>
          <w:szCs w:val="24"/>
        </w:rPr>
        <w:t xml:space="preserve"> su Top Sofa, Teklas automotive – ogranak Vranje, Kentaur Balkans.</w:t>
      </w:r>
      <w:proofErr w:type="gramEnd"/>
      <w:r w:rsidRPr="00794DC4">
        <w:rPr>
          <w:rFonts w:cstheme="minorHAnsi"/>
          <w:sz w:val="24"/>
          <w:szCs w:val="24"/>
        </w:rPr>
        <w:t xml:space="preserve"> </w:t>
      </w:r>
    </w:p>
    <w:p w:rsidR="00AF7B70" w:rsidRPr="00794DC4" w:rsidRDefault="001E4CC1" w:rsidP="001E4CC1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794DC4">
        <w:rPr>
          <w:rFonts w:cstheme="minorHAnsi"/>
          <w:bCs/>
          <w:sz w:val="24"/>
          <w:szCs w:val="24"/>
        </w:rPr>
        <w:t xml:space="preserve">             </w:t>
      </w:r>
      <w:r w:rsidR="0055631A" w:rsidRPr="00794DC4">
        <w:rPr>
          <w:rFonts w:cstheme="minorHAnsi"/>
          <w:bCs/>
          <w:sz w:val="24"/>
          <w:szCs w:val="24"/>
        </w:rPr>
        <w:t xml:space="preserve">Neka od najvažnijih domaćih </w:t>
      </w:r>
      <w:proofErr w:type="gramStart"/>
      <w:r w:rsidR="0055631A" w:rsidRPr="00794DC4">
        <w:rPr>
          <w:rFonts w:cstheme="minorHAnsi"/>
          <w:bCs/>
          <w:sz w:val="24"/>
          <w:szCs w:val="24"/>
        </w:rPr>
        <w:t>preduzeća  –</w:t>
      </w:r>
      <w:proofErr w:type="gramEnd"/>
      <w:r w:rsidR="0055631A" w:rsidRPr="00794DC4">
        <w:rPr>
          <w:rFonts w:cstheme="minorHAnsi"/>
          <w:bCs/>
          <w:sz w:val="24"/>
          <w:szCs w:val="24"/>
        </w:rPr>
        <w:t xml:space="preserve"> Yumco (Tekstilna industrija), </w:t>
      </w:r>
      <w:r w:rsidRPr="00794DC4">
        <w:rPr>
          <w:rFonts w:cstheme="minorHAnsi"/>
          <w:bCs/>
          <w:sz w:val="24"/>
          <w:szCs w:val="24"/>
        </w:rPr>
        <w:t>SIMPO (Proizvodnja nameštaja), ALFA – PLAM (Proizvodnja šporeta i ostalih grejnih tela), HIV Vranje</w:t>
      </w:r>
      <w:r w:rsidR="00AF7B70" w:rsidRPr="00794DC4">
        <w:rPr>
          <w:rFonts w:cstheme="minorHAnsi"/>
          <w:bCs/>
          <w:sz w:val="24"/>
          <w:szCs w:val="24"/>
        </w:rPr>
        <w:t xml:space="preserve">.  Istovremeno, ALFA – PLAM je jedan </w:t>
      </w:r>
      <w:proofErr w:type="gramStart"/>
      <w:r w:rsidR="00AF7B70" w:rsidRPr="00794DC4">
        <w:rPr>
          <w:rFonts w:cstheme="minorHAnsi"/>
          <w:bCs/>
          <w:sz w:val="24"/>
          <w:szCs w:val="24"/>
        </w:rPr>
        <w:t>od</w:t>
      </w:r>
      <w:proofErr w:type="gramEnd"/>
      <w:r w:rsidR="00AF7B70" w:rsidRPr="00794DC4">
        <w:rPr>
          <w:rFonts w:cstheme="minorHAnsi"/>
          <w:bCs/>
          <w:sz w:val="24"/>
          <w:szCs w:val="24"/>
        </w:rPr>
        <w:t xml:space="preserve"> najznačajnijijh izvoznika.</w:t>
      </w:r>
    </w:p>
    <w:p w:rsidR="001E4CC1" w:rsidRPr="001E4CC1" w:rsidRDefault="001E4CC1" w:rsidP="001E4CC1">
      <w:pPr>
        <w:pStyle w:val="NoSpacing"/>
        <w:jc w:val="both"/>
        <w:rPr>
          <w:rFonts w:cstheme="minorHAnsi"/>
          <w:color w:val="7030A0"/>
          <w:sz w:val="24"/>
          <w:szCs w:val="24"/>
        </w:rPr>
      </w:pPr>
      <w:r w:rsidRPr="00794DC4">
        <w:rPr>
          <w:rFonts w:cstheme="minorHAnsi"/>
          <w:bCs/>
          <w:sz w:val="24"/>
          <w:szCs w:val="24"/>
        </w:rPr>
        <w:t xml:space="preserve">            </w:t>
      </w:r>
      <w:r w:rsidR="0055631A" w:rsidRPr="00794DC4">
        <w:rPr>
          <w:rFonts w:cstheme="minorHAnsi"/>
          <w:bCs/>
          <w:sz w:val="24"/>
          <w:szCs w:val="24"/>
        </w:rPr>
        <w:t>Veliki inostrani investitori poput British American Tobacco, Ditre Italia, Teklas Automotive,</w:t>
      </w:r>
      <w:r w:rsidRPr="00794DC4">
        <w:rPr>
          <w:rFonts w:cstheme="minorHAnsi"/>
          <w:sz w:val="24"/>
          <w:szCs w:val="24"/>
        </w:rPr>
        <w:t xml:space="preserve"> </w:t>
      </w:r>
      <w:r w:rsidRPr="00794DC4">
        <w:rPr>
          <w:rFonts w:cstheme="minorHAnsi"/>
          <w:bCs/>
          <w:sz w:val="24"/>
          <w:szCs w:val="24"/>
        </w:rPr>
        <w:t>Haix</w:t>
      </w:r>
      <w:r w:rsidR="00AF7B70" w:rsidRPr="00794DC4">
        <w:rPr>
          <w:rFonts w:cstheme="minorHAnsi"/>
          <w:bCs/>
          <w:sz w:val="24"/>
          <w:szCs w:val="24"/>
        </w:rPr>
        <w:t>,</w:t>
      </w:r>
      <w:r w:rsidRPr="00794DC4">
        <w:rPr>
          <w:rFonts w:cstheme="minorHAnsi"/>
          <w:bCs/>
          <w:sz w:val="24"/>
          <w:szCs w:val="24"/>
        </w:rPr>
        <w:t xml:space="preserve"> kao i DIVA DIVANI, Kenda Farben, KAVIM itd</w:t>
      </w:r>
    </w:p>
    <w:p w:rsidR="001E4CC1" w:rsidRPr="001E4CC1" w:rsidRDefault="001E4CC1" w:rsidP="001E4CC1">
      <w:pPr>
        <w:pStyle w:val="NoSpacing"/>
        <w:jc w:val="both"/>
        <w:rPr>
          <w:rFonts w:cstheme="minorHAnsi"/>
          <w:color w:val="7030A0"/>
          <w:sz w:val="24"/>
          <w:szCs w:val="24"/>
        </w:rPr>
      </w:pPr>
    </w:p>
    <w:p w:rsidR="00A14E03" w:rsidRDefault="001E4CC1" w:rsidP="001E4CC1">
      <w:r>
        <w:rPr>
          <w:noProof/>
        </w:rPr>
        <w:drawing>
          <wp:inline distT="0" distB="0" distL="0" distR="0">
            <wp:extent cx="5495925" cy="2313524"/>
            <wp:effectExtent l="19050" t="19050" r="28575" b="10576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5881" t="39093" r="11165" b="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31352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E4CC1" w:rsidRDefault="001E4CC1" w:rsidP="001E4CC1"/>
    <w:p w:rsidR="001E4CC1" w:rsidRPr="00794DC4" w:rsidRDefault="001E4CC1" w:rsidP="001E4CC1">
      <w:pPr>
        <w:spacing w:after="0" w:line="240" w:lineRule="auto"/>
        <w:jc w:val="both"/>
        <w:rPr>
          <w:sz w:val="24"/>
          <w:szCs w:val="24"/>
        </w:rPr>
      </w:pPr>
      <w:r w:rsidRPr="00794DC4">
        <w:rPr>
          <w:sz w:val="24"/>
          <w:szCs w:val="24"/>
        </w:rPr>
        <w:t xml:space="preserve">                Jedan </w:t>
      </w:r>
      <w:proofErr w:type="gramStart"/>
      <w:r w:rsidRPr="00794DC4">
        <w:rPr>
          <w:sz w:val="24"/>
          <w:szCs w:val="24"/>
        </w:rPr>
        <w:t>od</w:t>
      </w:r>
      <w:proofErr w:type="gramEnd"/>
      <w:r w:rsidRPr="00794DC4">
        <w:rPr>
          <w:sz w:val="24"/>
          <w:szCs w:val="24"/>
        </w:rPr>
        <w:t xml:space="preserve"> strateških prioriteta grada Vranja je dalji razvoj privredne strukture, sa posebnim osvrtom na preduzeća zasnovana na znanju i novim tehnologijama.</w:t>
      </w:r>
    </w:p>
    <w:p w:rsidR="001E4CC1" w:rsidRPr="00794DC4" w:rsidRDefault="001E4CC1" w:rsidP="001E4CC1">
      <w:pPr>
        <w:spacing w:after="0" w:line="240" w:lineRule="auto"/>
        <w:jc w:val="both"/>
        <w:rPr>
          <w:sz w:val="24"/>
          <w:szCs w:val="24"/>
        </w:rPr>
      </w:pPr>
      <w:r w:rsidRPr="00794DC4">
        <w:rPr>
          <w:sz w:val="24"/>
          <w:szCs w:val="24"/>
        </w:rPr>
        <w:t xml:space="preserve">               Privlačenje investitora i otvaranje novih radnih </w:t>
      </w:r>
      <w:proofErr w:type="gramStart"/>
      <w:r w:rsidRPr="00794DC4">
        <w:rPr>
          <w:sz w:val="24"/>
          <w:szCs w:val="24"/>
        </w:rPr>
        <w:t>mesta</w:t>
      </w:r>
      <w:proofErr w:type="gramEnd"/>
      <w:r w:rsidRPr="00794DC4">
        <w:rPr>
          <w:sz w:val="24"/>
          <w:szCs w:val="24"/>
        </w:rPr>
        <w:t xml:space="preserve"> podrazumeva jednak tretman domaćih i stranih investitora.</w:t>
      </w:r>
    </w:p>
    <w:p w:rsidR="001E4CC1" w:rsidRPr="00794DC4" w:rsidRDefault="001E4CC1" w:rsidP="001E4CC1">
      <w:pPr>
        <w:spacing w:after="0" w:line="240" w:lineRule="auto"/>
        <w:jc w:val="both"/>
        <w:rPr>
          <w:sz w:val="24"/>
          <w:szCs w:val="24"/>
        </w:rPr>
      </w:pPr>
      <w:r w:rsidRPr="00794DC4">
        <w:rPr>
          <w:sz w:val="24"/>
          <w:szCs w:val="24"/>
        </w:rPr>
        <w:lastRenderedPageBreak/>
        <w:t xml:space="preserve">Paket podrške investitorima obuhvata finansijske i nefinansijske podsticaje </w:t>
      </w:r>
      <w:proofErr w:type="gramStart"/>
      <w:r w:rsidRPr="00794DC4">
        <w:rPr>
          <w:sz w:val="24"/>
          <w:szCs w:val="24"/>
        </w:rPr>
        <w:t>na</w:t>
      </w:r>
      <w:proofErr w:type="gramEnd"/>
      <w:r w:rsidRPr="00794DC4">
        <w:rPr>
          <w:sz w:val="24"/>
          <w:szCs w:val="24"/>
        </w:rPr>
        <w:t xml:space="preserve"> lokalnom i nacionalnom nivou. </w:t>
      </w:r>
    </w:p>
    <w:p w:rsidR="001E4CC1" w:rsidRPr="00794DC4" w:rsidRDefault="001E4CC1" w:rsidP="001E4CC1">
      <w:pPr>
        <w:spacing w:after="0" w:line="240" w:lineRule="auto"/>
        <w:jc w:val="both"/>
        <w:rPr>
          <w:sz w:val="24"/>
          <w:szCs w:val="24"/>
        </w:rPr>
      </w:pPr>
      <w:r w:rsidRPr="00794DC4">
        <w:rPr>
          <w:sz w:val="24"/>
          <w:szCs w:val="24"/>
        </w:rPr>
        <w:t xml:space="preserve">                Grad Vranje je određenim odlukama Skupštine grada predvideo oslobađanja za investitore koji otvaraju nova radna </w:t>
      </w:r>
      <w:proofErr w:type="gramStart"/>
      <w:r w:rsidRPr="00794DC4">
        <w:rPr>
          <w:sz w:val="24"/>
          <w:szCs w:val="24"/>
        </w:rPr>
        <w:t>mesta</w:t>
      </w:r>
      <w:proofErr w:type="gramEnd"/>
      <w:r w:rsidRPr="00794DC4">
        <w:rPr>
          <w:sz w:val="24"/>
          <w:szCs w:val="24"/>
        </w:rPr>
        <w:t xml:space="preserve">. Određene mere podrške otvaranju novih radnih </w:t>
      </w:r>
      <w:proofErr w:type="gramStart"/>
      <w:r w:rsidRPr="00794DC4">
        <w:rPr>
          <w:sz w:val="24"/>
          <w:szCs w:val="24"/>
        </w:rPr>
        <w:t>mesta</w:t>
      </w:r>
      <w:proofErr w:type="gramEnd"/>
      <w:r w:rsidRPr="00794DC4">
        <w:rPr>
          <w:sz w:val="24"/>
          <w:szCs w:val="24"/>
        </w:rPr>
        <w:t xml:space="preserve"> su obuhvaćenje i Lokalnim akcionim planovima zapošljavanja grada Vranja.</w:t>
      </w:r>
    </w:p>
    <w:p w:rsidR="001E4CC1" w:rsidRPr="00794DC4" w:rsidRDefault="001E4CC1" w:rsidP="001E4CC1">
      <w:pPr>
        <w:spacing w:after="0" w:line="240" w:lineRule="auto"/>
        <w:jc w:val="both"/>
        <w:rPr>
          <w:color w:val="7030A0"/>
          <w:sz w:val="24"/>
          <w:szCs w:val="24"/>
        </w:rPr>
      </w:pPr>
      <w:r w:rsidRPr="00794DC4">
        <w:rPr>
          <w:sz w:val="24"/>
          <w:szCs w:val="24"/>
        </w:rPr>
        <w:t xml:space="preserve">                </w:t>
      </w:r>
      <w:proofErr w:type="gramStart"/>
      <w:r w:rsidRPr="00794DC4">
        <w:rPr>
          <w:sz w:val="24"/>
          <w:szCs w:val="24"/>
        </w:rPr>
        <w:t>Potencijalnim  investitorima</w:t>
      </w:r>
      <w:proofErr w:type="gramEnd"/>
      <w:r w:rsidRPr="00794DC4">
        <w:rPr>
          <w:sz w:val="24"/>
          <w:szCs w:val="24"/>
        </w:rPr>
        <w:t xml:space="preserve"> su na raspolaganju i sredstva na nacionalnom nivou, preko Ministarstva privrede</w:t>
      </w:r>
      <w:r w:rsidRPr="00794DC4">
        <w:rPr>
          <w:color w:val="7030A0"/>
          <w:sz w:val="24"/>
          <w:szCs w:val="24"/>
        </w:rPr>
        <w:t xml:space="preserve"> </w:t>
      </w:r>
      <w:hyperlink r:id="rId13" w:history="1">
        <w:r w:rsidR="00AF7B70" w:rsidRPr="00794DC4">
          <w:rPr>
            <w:rStyle w:val="Hyperlink"/>
            <w:sz w:val="24"/>
            <w:szCs w:val="24"/>
          </w:rPr>
          <w:t>https://privreda.gov.rs/</w:t>
        </w:r>
      </w:hyperlink>
      <w:r w:rsidR="00AF7B70" w:rsidRPr="00794DC4">
        <w:rPr>
          <w:color w:val="7030A0"/>
          <w:sz w:val="24"/>
          <w:szCs w:val="24"/>
        </w:rPr>
        <w:t xml:space="preserve"> </w:t>
      </w:r>
      <w:r w:rsidRPr="00794DC4">
        <w:rPr>
          <w:color w:val="7030A0"/>
          <w:sz w:val="24"/>
          <w:szCs w:val="24"/>
        </w:rPr>
        <w:t xml:space="preserve"> </w:t>
      </w:r>
      <w:r w:rsidRPr="00794DC4">
        <w:rPr>
          <w:sz w:val="24"/>
          <w:szCs w:val="24"/>
        </w:rPr>
        <w:t>kao i Razvojne agencije Srbije – RAS</w:t>
      </w:r>
      <w:r w:rsidRPr="00794DC4">
        <w:rPr>
          <w:color w:val="7030A0"/>
          <w:sz w:val="24"/>
          <w:szCs w:val="24"/>
        </w:rPr>
        <w:t xml:space="preserve"> </w:t>
      </w:r>
      <w:hyperlink r:id="rId14" w:history="1">
        <w:r w:rsidR="00AF7B70" w:rsidRPr="00794DC4">
          <w:rPr>
            <w:rStyle w:val="Hyperlink"/>
            <w:sz w:val="24"/>
            <w:szCs w:val="24"/>
          </w:rPr>
          <w:t>https://ras.gov.rs/podrska-investitorima/zasto-srbija/podsticaji-za-investiranje</w:t>
        </w:r>
      </w:hyperlink>
      <w:r w:rsidR="00AF7B70" w:rsidRPr="00794DC4">
        <w:rPr>
          <w:color w:val="7030A0"/>
          <w:sz w:val="24"/>
          <w:szCs w:val="24"/>
        </w:rPr>
        <w:t xml:space="preserve"> </w:t>
      </w:r>
      <w:r w:rsidRPr="00794DC4">
        <w:rPr>
          <w:color w:val="7030A0"/>
          <w:sz w:val="24"/>
          <w:szCs w:val="24"/>
        </w:rPr>
        <w:t>.</w:t>
      </w:r>
    </w:p>
    <w:p w:rsidR="001E4CC1" w:rsidRPr="00794DC4" w:rsidRDefault="001E4CC1" w:rsidP="001E4CC1">
      <w:pPr>
        <w:spacing w:after="0" w:line="240" w:lineRule="auto"/>
        <w:jc w:val="both"/>
        <w:rPr>
          <w:color w:val="7030A0"/>
          <w:sz w:val="24"/>
          <w:szCs w:val="24"/>
        </w:rPr>
      </w:pPr>
      <w:r w:rsidRPr="00794DC4">
        <w:rPr>
          <w:color w:val="7030A0"/>
          <w:sz w:val="24"/>
          <w:szCs w:val="24"/>
        </w:rPr>
        <w:t xml:space="preserve">               </w:t>
      </w:r>
      <w:r w:rsidRPr="00794DC4">
        <w:rPr>
          <w:sz w:val="24"/>
          <w:szCs w:val="24"/>
        </w:rPr>
        <w:t xml:space="preserve">Nacionalna služba za zapošljavanje, u skladu </w:t>
      </w:r>
      <w:proofErr w:type="gramStart"/>
      <w:r w:rsidRPr="00794DC4">
        <w:rPr>
          <w:sz w:val="24"/>
          <w:szCs w:val="24"/>
        </w:rPr>
        <w:t>sa</w:t>
      </w:r>
      <w:proofErr w:type="gramEnd"/>
      <w:r w:rsidRPr="00794DC4">
        <w:rPr>
          <w:sz w:val="24"/>
          <w:szCs w:val="24"/>
        </w:rPr>
        <w:t xml:space="preserve"> Strategijom zapošljavanja i Akcionim planom za sprovođenje Strategije zapoljšavanja u Republici Srbiji, realizuje mere aktivne politike zapošljavanja na godišnjem nivou.</w:t>
      </w:r>
      <w:r w:rsidRPr="00794DC4">
        <w:rPr>
          <w:color w:val="7030A0"/>
          <w:sz w:val="24"/>
          <w:szCs w:val="24"/>
        </w:rPr>
        <w:t xml:space="preserve"> </w:t>
      </w:r>
      <w:hyperlink r:id="rId15" w:history="1">
        <w:r w:rsidR="00AF7B70" w:rsidRPr="00794DC4">
          <w:rPr>
            <w:rStyle w:val="Hyperlink"/>
            <w:sz w:val="24"/>
            <w:szCs w:val="24"/>
          </w:rPr>
          <w:t>https://www.nsz.gov.rs/</w:t>
        </w:r>
      </w:hyperlink>
      <w:r w:rsidR="00AF7B70" w:rsidRPr="00794DC4">
        <w:rPr>
          <w:color w:val="7030A0"/>
          <w:sz w:val="24"/>
          <w:szCs w:val="24"/>
        </w:rPr>
        <w:t xml:space="preserve"> </w:t>
      </w:r>
      <w:r w:rsidRPr="00794DC4">
        <w:rPr>
          <w:color w:val="7030A0"/>
          <w:sz w:val="24"/>
          <w:szCs w:val="24"/>
        </w:rPr>
        <w:t xml:space="preserve"> </w:t>
      </w:r>
    </w:p>
    <w:p w:rsidR="00794DC4" w:rsidRDefault="001E4CC1" w:rsidP="00794DC4">
      <w:pPr>
        <w:spacing w:after="0" w:line="240" w:lineRule="auto"/>
        <w:jc w:val="both"/>
        <w:rPr>
          <w:color w:val="7030A0"/>
          <w:sz w:val="24"/>
          <w:szCs w:val="24"/>
        </w:rPr>
      </w:pPr>
      <w:r w:rsidRPr="00794DC4">
        <w:rPr>
          <w:color w:val="7030A0"/>
          <w:sz w:val="24"/>
          <w:szCs w:val="24"/>
        </w:rPr>
        <w:t xml:space="preserve">             </w:t>
      </w:r>
      <w:r w:rsidRPr="00794DC4">
        <w:rPr>
          <w:sz w:val="24"/>
          <w:szCs w:val="24"/>
        </w:rPr>
        <w:t xml:space="preserve">Fond za razvoj Republike Srbije, kroz različite kreditne linije, obezbeđuje potrebna sredstav za privredne subjekte </w:t>
      </w:r>
      <w:proofErr w:type="gramStart"/>
      <w:r w:rsidRPr="00794DC4">
        <w:rPr>
          <w:sz w:val="24"/>
          <w:szCs w:val="24"/>
        </w:rPr>
        <w:t>na</w:t>
      </w:r>
      <w:proofErr w:type="gramEnd"/>
      <w:r w:rsidRPr="00794DC4">
        <w:rPr>
          <w:sz w:val="24"/>
          <w:szCs w:val="24"/>
        </w:rPr>
        <w:t xml:space="preserve"> teritoriji Srbije.</w:t>
      </w:r>
      <w:r w:rsidRPr="00794DC4">
        <w:rPr>
          <w:color w:val="7030A0"/>
          <w:sz w:val="24"/>
          <w:szCs w:val="24"/>
        </w:rPr>
        <w:t xml:space="preserve"> </w:t>
      </w:r>
      <w:hyperlink r:id="rId16" w:history="1">
        <w:r w:rsidR="00AF7B70" w:rsidRPr="00794DC4">
          <w:rPr>
            <w:rStyle w:val="Hyperlink"/>
            <w:sz w:val="24"/>
            <w:szCs w:val="24"/>
          </w:rPr>
          <w:t>https://fondzarazvoj.gov.rs/cir</w:t>
        </w:r>
      </w:hyperlink>
      <w:r w:rsidR="00AF7B70" w:rsidRPr="00794DC4">
        <w:rPr>
          <w:color w:val="7030A0"/>
          <w:sz w:val="24"/>
          <w:szCs w:val="24"/>
        </w:rPr>
        <w:t xml:space="preserve"> </w:t>
      </w:r>
    </w:p>
    <w:p w:rsidR="00794DC4" w:rsidRDefault="00794DC4" w:rsidP="00794DC4">
      <w:pPr>
        <w:spacing w:after="0" w:line="240" w:lineRule="auto"/>
        <w:jc w:val="both"/>
        <w:rPr>
          <w:color w:val="7030A0"/>
          <w:sz w:val="24"/>
          <w:szCs w:val="24"/>
        </w:rPr>
      </w:pPr>
    </w:p>
    <w:p w:rsidR="00A14E03" w:rsidRPr="00CF1D29" w:rsidRDefault="00A14E03" w:rsidP="00794DC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F1D29">
        <w:rPr>
          <w:rFonts w:cstheme="minorHAnsi"/>
          <w:b/>
          <w:bCs/>
          <w:sz w:val="24"/>
          <w:szCs w:val="24"/>
        </w:rPr>
        <w:t>Ostale informacije</w:t>
      </w:r>
    </w:p>
    <w:p w:rsidR="005F5C84" w:rsidRPr="00CF1D29" w:rsidRDefault="005F5C84" w:rsidP="00E30BD7">
      <w:pPr>
        <w:pStyle w:val="NoSpacing"/>
        <w:rPr>
          <w:rFonts w:cstheme="minorHAnsi"/>
          <w:i/>
          <w:iCs/>
          <w:color w:val="4472C4" w:themeColor="accent1"/>
          <w:sz w:val="24"/>
          <w:szCs w:val="24"/>
        </w:rPr>
      </w:pPr>
    </w:p>
    <w:p w:rsidR="00A776BA" w:rsidRPr="00794DC4" w:rsidRDefault="00A776BA" w:rsidP="004268D0">
      <w:pPr>
        <w:spacing w:after="0" w:line="240" w:lineRule="auto"/>
        <w:jc w:val="both"/>
        <w:rPr>
          <w:sz w:val="24"/>
          <w:szCs w:val="24"/>
        </w:rPr>
      </w:pPr>
      <w:r>
        <w:rPr>
          <w:color w:val="7030A0"/>
        </w:rPr>
        <w:t xml:space="preserve">             </w:t>
      </w:r>
      <w:r w:rsidRPr="00794DC4">
        <w:rPr>
          <w:sz w:val="24"/>
          <w:szCs w:val="24"/>
        </w:rPr>
        <w:t>Razvoj turizma je jedan od strateških prioritetnih ciljeva grada Vranja, koji je definisan u okviru „Plana razvoja grada Vranja 2021-2030“, i to uz pozicioniranje Vranja kao atraktivnog turističkog mesta, u skladu sa turističkim vrednostima kojima grad raspolaže.</w:t>
      </w:r>
    </w:p>
    <w:p w:rsidR="004268D0" w:rsidRPr="00794DC4" w:rsidRDefault="00A776BA" w:rsidP="004268D0">
      <w:pPr>
        <w:spacing w:after="0" w:line="240" w:lineRule="auto"/>
        <w:jc w:val="both"/>
        <w:rPr>
          <w:sz w:val="24"/>
          <w:szCs w:val="24"/>
        </w:rPr>
      </w:pPr>
      <w:r w:rsidRPr="00794DC4">
        <w:rPr>
          <w:sz w:val="24"/>
          <w:szCs w:val="24"/>
        </w:rPr>
        <w:t xml:space="preserve">            </w:t>
      </w:r>
      <w:proofErr w:type="gramStart"/>
      <w:r w:rsidRPr="00794DC4">
        <w:rPr>
          <w:sz w:val="24"/>
          <w:szCs w:val="24"/>
        </w:rPr>
        <w:t>Vranje je grad juga, bogate istorije i kulture, rodni grad velikana književnosti Borisava Stankovića i velikana teologije i sveca Oca Justina Ćelijskog i vranjskog.</w:t>
      </w:r>
      <w:proofErr w:type="gramEnd"/>
      <w:r w:rsidRPr="00794DC4">
        <w:rPr>
          <w:sz w:val="24"/>
          <w:szCs w:val="24"/>
        </w:rPr>
        <w:t xml:space="preserve"> Grad je prepoznatljivih oblika ljudskog stvaralaštva: stare balkanske, kaldrmisane ulice i originalnih arhitektonskih zdanja u balkansko-orijentalnom stilu, </w:t>
      </w:r>
      <w:proofErr w:type="gramStart"/>
      <w:r w:rsidRPr="00794DC4">
        <w:rPr>
          <w:sz w:val="24"/>
          <w:szCs w:val="24"/>
        </w:rPr>
        <w:t>ali</w:t>
      </w:r>
      <w:proofErr w:type="gramEnd"/>
      <w:r w:rsidRPr="00794DC4">
        <w:rPr>
          <w:sz w:val="24"/>
          <w:szCs w:val="24"/>
        </w:rPr>
        <w:t xml:space="preserve"> i stilu srpsko-vizantijske arhitekture, ekletičnog renesansa i građanskog stila s kraja 19.v. i početkom 20.v.  </w:t>
      </w:r>
      <w:proofErr w:type="gramStart"/>
      <w:r w:rsidRPr="00794DC4">
        <w:rPr>
          <w:sz w:val="24"/>
          <w:szCs w:val="24"/>
        </w:rPr>
        <w:t>Vranjski kraj prati i epitet vranjska Sveta Gora, zbog velike koncentracije verskih objekata u okviru definisanih granica grada.</w:t>
      </w:r>
      <w:proofErr w:type="gramEnd"/>
      <w:r w:rsidRPr="00794DC4">
        <w:rPr>
          <w:sz w:val="24"/>
          <w:szCs w:val="24"/>
        </w:rPr>
        <w:t xml:space="preserve"> Pored materijalnih elemenata kulturne baštine, grad je prepoznatljiv i po nematerijalnom nasleđu: pesmi, igri, dijalektu, običajima, legendama i predanjima, gastronomiji. Na teritoriji grada Vranja su zastupljene i dragocene prirodne vrednosti: reljefne, hidrološke, klimatske i biogeografske. Najznačajnije među njima jesu najtoplija evropska banja – Vranjska Banja i planinska neukrotiva lepotica juga Srbije – Besna Kobila, brana Prvonek sa minihidroelektranom i jezerom, zatim ostaci paleovulkanskog oblika reljefa – Grot i Oblik, Vranjska reka koja je bogata slapovima i virovima, čiji se izvor nalazi u podnožju nekadašnjeg utvrđenja Markovo kale i na kojoj se nalazi najpoznatiji spomenik grada Beli most, onda i podatak da je Vranje srpski grad koji ima najveći broj sunčanih sati u godini. Na prostornom obuhvatu grada, nalaze se 103 seoska naselja </w:t>
      </w:r>
      <w:proofErr w:type="gramStart"/>
      <w:r w:rsidRPr="00794DC4">
        <w:rPr>
          <w:sz w:val="24"/>
          <w:szCs w:val="24"/>
        </w:rPr>
        <w:t>sa</w:t>
      </w:r>
      <w:proofErr w:type="gramEnd"/>
      <w:r w:rsidRPr="00794DC4">
        <w:rPr>
          <w:sz w:val="24"/>
          <w:szCs w:val="24"/>
        </w:rPr>
        <w:t xml:space="preserve"> izvrsnim potencijalima za razvoj ruralnog turizma, zahvaljujući njihovoj živopisnosti i očuvanosti prirode, kako u moravskom delu, tako i u brdsko-planinskom. Grad ističe i izuzetna povoljnost turističko-geografskog položaja, s obzirom </w:t>
      </w:r>
      <w:proofErr w:type="gramStart"/>
      <w:r w:rsidRPr="00794DC4">
        <w:rPr>
          <w:sz w:val="24"/>
          <w:szCs w:val="24"/>
        </w:rPr>
        <w:t>na</w:t>
      </w:r>
      <w:proofErr w:type="gramEnd"/>
      <w:r w:rsidRPr="00794DC4">
        <w:rPr>
          <w:sz w:val="24"/>
          <w:szCs w:val="24"/>
        </w:rPr>
        <w:t xml:space="preserve"> blizinu koridora 10 odnosno E-75 i na prisutnu pograničnu vezu i širu saradnju sa Severnom Makedonijom i Bugarskom.</w:t>
      </w:r>
    </w:p>
    <w:p w:rsidR="004268D0" w:rsidRPr="00794DC4" w:rsidRDefault="00A776BA" w:rsidP="004268D0">
      <w:pPr>
        <w:spacing w:after="0" w:line="240" w:lineRule="auto"/>
        <w:jc w:val="both"/>
        <w:rPr>
          <w:sz w:val="24"/>
          <w:szCs w:val="24"/>
        </w:rPr>
      </w:pPr>
      <w:r w:rsidRPr="00794DC4">
        <w:rPr>
          <w:sz w:val="24"/>
          <w:szCs w:val="24"/>
        </w:rPr>
        <w:t xml:space="preserve">           </w:t>
      </w:r>
      <w:proofErr w:type="gramStart"/>
      <w:r w:rsidRPr="00794DC4">
        <w:rPr>
          <w:sz w:val="24"/>
          <w:szCs w:val="24"/>
        </w:rPr>
        <w:t>Postoje izvanredni potencijali za dalji razvoj poljoprivrede i ru</w:t>
      </w:r>
      <w:r w:rsidR="00AF7B70" w:rsidRPr="00794DC4">
        <w:rPr>
          <w:sz w:val="24"/>
          <w:szCs w:val="24"/>
        </w:rPr>
        <w:t>ralnog razvoja.</w:t>
      </w:r>
      <w:proofErr w:type="gramEnd"/>
      <w:r w:rsidR="00AF7B70" w:rsidRPr="00794DC4">
        <w:rPr>
          <w:sz w:val="24"/>
          <w:szCs w:val="24"/>
        </w:rPr>
        <w:t xml:space="preserve"> Klima, zemljište, hidro-karakteristike, kao I </w:t>
      </w:r>
      <w:r w:rsidR="008546CC" w:rsidRPr="00794DC4">
        <w:rPr>
          <w:sz w:val="24"/>
          <w:szCs w:val="24"/>
        </w:rPr>
        <w:t>topografija ukupnog terena omog</w:t>
      </w:r>
      <w:r w:rsidR="00AF7B70" w:rsidRPr="00794DC4">
        <w:rPr>
          <w:sz w:val="24"/>
          <w:szCs w:val="24"/>
        </w:rPr>
        <w:t xml:space="preserve">ućavaju dalji razvoj poljoprivrede, </w:t>
      </w:r>
      <w:proofErr w:type="gramStart"/>
      <w:r w:rsidR="00AF7B70" w:rsidRPr="00794DC4">
        <w:rPr>
          <w:sz w:val="24"/>
          <w:szCs w:val="24"/>
        </w:rPr>
        <w:t>sa</w:t>
      </w:r>
      <w:proofErr w:type="gramEnd"/>
      <w:r w:rsidR="00AF7B70" w:rsidRPr="00794DC4">
        <w:rPr>
          <w:sz w:val="24"/>
          <w:szCs w:val="24"/>
        </w:rPr>
        <w:t xml:space="preserve"> posebnim osvrtom na stočarstvo, kao i voćarstvo I povrtarstvo. </w:t>
      </w:r>
      <w:proofErr w:type="gramStart"/>
      <w:r w:rsidR="00AF7B70" w:rsidRPr="00794DC4">
        <w:rPr>
          <w:sz w:val="24"/>
          <w:szCs w:val="24"/>
        </w:rPr>
        <w:t>Na teritoriji Vranja se dodatno ističe potencijal proizvodnje vina, o čemu svedoče vinarije, među kojima se I višestruko nagrađivana vinarija “Aleksić”.</w:t>
      </w:r>
      <w:proofErr w:type="gramEnd"/>
      <w:r w:rsidR="00421D55" w:rsidRPr="00794DC4">
        <w:rPr>
          <w:sz w:val="24"/>
          <w:szCs w:val="24"/>
        </w:rPr>
        <w:t xml:space="preserve"> </w:t>
      </w:r>
    </w:p>
    <w:p w:rsidR="00662EBE" w:rsidRPr="00794DC4" w:rsidRDefault="00421D55" w:rsidP="004268D0">
      <w:pPr>
        <w:spacing w:after="0" w:line="240" w:lineRule="auto"/>
        <w:jc w:val="both"/>
        <w:rPr>
          <w:sz w:val="24"/>
          <w:szCs w:val="24"/>
        </w:rPr>
      </w:pPr>
      <w:r w:rsidRPr="00794DC4">
        <w:rPr>
          <w:sz w:val="24"/>
          <w:szCs w:val="24"/>
        </w:rPr>
        <w:t xml:space="preserve">         </w:t>
      </w:r>
      <w:r w:rsidR="004268D0" w:rsidRPr="00794DC4">
        <w:rPr>
          <w:sz w:val="24"/>
          <w:szCs w:val="24"/>
        </w:rPr>
        <w:t xml:space="preserve"> Lokalna samouprava Vranje posvećuje veliki značaj obrazovanju, kao jednom </w:t>
      </w:r>
      <w:proofErr w:type="gramStart"/>
      <w:r w:rsidR="004268D0" w:rsidRPr="00794DC4">
        <w:rPr>
          <w:sz w:val="24"/>
          <w:szCs w:val="24"/>
        </w:rPr>
        <w:t>od</w:t>
      </w:r>
      <w:proofErr w:type="gramEnd"/>
      <w:r w:rsidR="004268D0" w:rsidRPr="00794DC4">
        <w:rPr>
          <w:sz w:val="24"/>
          <w:szCs w:val="24"/>
        </w:rPr>
        <w:t xml:space="preserve"> stubova održivog razvoja. Znanje je krucijalni resurs i potrebna je implementacija inovativnih I održivih institucionalnih mehanizama koji </w:t>
      </w:r>
      <w:proofErr w:type="gramStart"/>
      <w:r w:rsidR="004268D0" w:rsidRPr="00794DC4">
        <w:rPr>
          <w:sz w:val="24"/>
          <w:szCs w:val="24"/>
        </w:rPr>
        <w:t>će</w:t>
      </w:r>
      <w:proofErr w:type="gramEnd"/>
      <w:r w:rsidR="004268D0" w:rsidRPr="00794DC4">
        <w:rPr>
          <w:sz w:val="24"/>
          <w:szCs w:val="24"/>
        </w:rPr>
        <w:t xml:space="preserve"> omogućiti njegovu valorizaciju i afirmaciju. </w:t>
      </w:r>
      <w:r w:rsidR="004268D0" w:rsidRPr="00794DC4">
        <w:rPr>
          <w:sz w:val="24"/>
          <w:szCs w:val="24"/>
        </w:rPr>
        <w:lastRenderedPageBreak/>
        <w:t xml:space="preserve">Obrazovni </w:t>
      </w:r>
      <w:proofErr w:type="gramStart"/>
      <w:r w:rsidR="004268D0" w:rsidRPr="00794DC4">
        <w:rPr>
          <w:sz w:val="24"/>
          <w:szCs w:val="24"/>
        </w:rPr>
        <w:t>-  naučni</w:t>
      </w:r>
      <w:proofErr w:type="gramEnd"/>
      <w:r w:rsidR="004268D0" w:rsidRPr="00794DC4">
        <w:rPr>
          <w:sz w:val="24"/>
          <w:szCs w:val="24"/>
        </w:rPr>
        <w:t xml:space="preserve"> centar  “Ćoška – Rista Stajić” u Vranju, u saradnji sa Vladom Republike Srbije, je projekat u toku, </w:t>
      </w:r>
      <w:r w:rsidR="008546CC" w:rsidRPr="00794DC4">
        <w:rPr>
          <w:sz w:val="24"/>
          <w:szCs w:val="24"/>
        </w:rPr>
        <w:t>i</w:t>
      </w:r>
      <w:r w:rsidR="004268D0" w:rsidRPr="00794DC4">
        <w:rPr>
          <w:sz w:val="24"/>
          <w:szCs w:val="24"/>
        </w:rPr>
        <w:t xml:space="preserve"> profiliše se kao mesto kontinuiranog razvoja talentovanih učenika I studenata u oblasti prirodnih nauka.</w:t>
      </w:r>
    </w:p>
    <w:p w:rsidR="004268D0" w:rsidRPr="00794DC4" w:rsidRDefault="004268D0" w:rsidP="004268D0">
      <w:pPr>
        <w:spacing w:after="0" w:line="240" w:lineRule="auto"/>
        <w:jc w:val="both"/>
        <w:rPr>
          <w:sz w:val="24"/>
          <w:szCs w:val="24"/>
        </w:rPr>
      </w:pPr>
      <w:r w:rsidRPr="00794DC4">
        <w:rPr>
          <w:sz w:val="24"/>
          <w:szCs w:val="24"/>
        </w:rPr>
        <w:t xml:space="preserve">        Očekuje se i realizacija kapitalnog projekta izgradnje Poslovno-upravljačkog centra sa Trening centrom za razvoj </w:t>
      </w:r>
      <w:r w:rsidR="008546CC" w:rsidRPr="00794DC4">
        <w:rPr>
          <w:sz w:val="24"/>
          <w:szCs w:val="24"/>
        </w:rPr>
        <w:t xml:space="preserve">i </w:t>
      </w:r>
      <w:r w:rsidRPr="00794DC4">
        <w:rPr>
          <w:sz w:val="24"/>
          <w:szCs w:val="24"/>
        </w:rPr>
        <w:t>obuku radne snage na teritoriji Slobodne zone</w:t>
      </w:r>
      <w:r w:rsidR="009624AD" w:rsidRPr="00794DC4">
        <w:rPr>
          <w:sz w:val="24"/>
          <w:szCs w:val="24"/>
        </w:rPr>
        <w:t>, kao inovativnog, održivog institucionalnog mehanizma za obuku radnika u skladu sa potrebama investitora, dalji razvoj sistema obrazovanja, sa posebnim osvrtom na dualno obrazovanje I dalje povezivanje obrazovanja sa privredom.</w:t>
      </w:r>
    </w:p>
    <w:p w:rsidR="00794DC4" w:rsidRDefault="003C473C" w:rsidP="00794DC4">
      <w:pPr>
        <w:spacing w:after="0" w:line="240" w:lineRule="auto"/>
        <w:jc w:val="both"/>
        <w:rPr>
          <w:sz w:val="24"/>
          <w:szCs w:val="24"/>
        </w:rPr>
      </w:pPr>
      <w:r w:rsidRPr="00794DC4">
        <w:rPr>
          <w:sz w:val="24"/>
          <w:szCs w:val="24"/>
        </w:rPr>
        <w:t xml:space="preserve">        </w:t>
      </w:r>
      <w:proofErr w:type="gramStart"/>
      <w:r w:rsidRPr="00794DC4">
        <w:rPr>
          <w:sz w:val="24"/>
          <w:szCs w:val="24"/>
        </w:rPr>
        <w:t>Očekuje se i realizacija kapitalnog projekta JPP, u oblasti energetike – izgradnja solarne elektrane.</w:t>
      </w:r>
      <w:proofErr w:type="gramEnd"/>
    </w:p>
    <w:p w:rsidR="00794DC4" w:rsidRDefault="00794DC4" w:rsidP="00794DC4">
      <w:pPr>
        <w:spacing w:after="0" w:line="240" w:lineRule="auto"/>
        <w:jc w:val="both"/>
        <w:rPr>
          <w:sz w:val="24"/>
          <w:szCs w:val="24"/>
        </w:rPr>
      </w:pPr>
    </w:p>
    <w:p w:rsidR="00A14E03" w:rsidRPr="00CF1D29" w:rsidRDefault="00A14E03" w:rsidP="00794DC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F1D29">
        <w:rPr>
          <w:rFonts w:cstheme="minorHAnsi"/>
          <w:b/>
          <w:bCs/>
          <w:sz w:val="24"/>
          <w:szCs w:val="24"/>
        </w:rPr>
        <w:t>Prioriteti razvoja</w:t>
      </w:r>
    </w:p>
    <w:p w:rsidR="005F5C84" w:rsidRPr="00CF1D29" w:rsidRDefault="005F5C84" w:rsidP="00A14E03">
      <w:pPr>
        <w:pStyle w:val="NoSpacing"/>
        <w:rPr>
          <w:rFonts w:cstheme="minorHAnsi"/>
          <w:i/>
          <w:iCs/>
          <w:color w:val="4472C4" w:themeColor="accent1"/>
          <w:sz w:val="24"/>
          <w:szCs w:val="24"/>
        </w:rPr>
      </w:pPr>
    </w:p>
    <w:p w:rsidR="00724381" w:rsidRPr="00794DC4" w:rsidRDefault="004E0294" w:rsidP="004E0294">
      <w:pPr>
        <w:pStyle w:val="NoSpacing"/>
        <w:jc w:val="both"/>
        <w:rPr>
          <w:rFonts w:cs="Arial"/>
          <w:sz w:val="24"/>
          <w:szCs w:val="24"/>
          <w:shd w:val="clear" w:color="auto" w:fill="FFFFFF"/>
          <w:lang w:val="de-CH"/>
        </w:rPr>
      </w:pPr>
      <w:r w:rsidRPr="00794DC4">
        <w:rPr>
          <w:rFonts w:cs="Arial"/>
          <w:sz w:val="24"/>
          <w:szCs w:val="24"/>
          <w:shd w:val="clear" w:color="auto" w:fill="FFFFFF"/>
          <w:lang w:val="de-CH"/>
        </w:rPr>
        <w:t>Grad Vranje je među prvim lokalnim samoupravama u Srbiji, a skladu sa aktuelnim normativno-pravnim okvirom  (Zak</w:t>
      </w:r>
      <w:r w:rsidR="00724381" w:rsidRPr="00794DC4">
        <w:rPr>
          <w:rFonts w:cs="Arial"/>
          <w:sz w:val="24"/>
          <w:szCs w:val="24"/>
          <w:shd w:val="clear" w:color="auto" w:fill="FFFFFF"/>
          <w:lang w:val="de-CH"/>
        </w:rPr>
        <w:t>on o planskom sistemu Republike, ostali podzakonski akti) razvio i usvoji Plan razvoja grada Vranja 2021-2030</w:t>
      </w:r>
      <w:r w:rsidR="00724381" w:rsidRPr="00794DC4">
        <w:rPr>
          <w:rFonts w:cs="Arial"/>
          <w:color w:val="7030A0"/>
          <w:sz w:val="24"/>
          <w:szCs w:val="24"/>
          <w:shd w:val="clear" w:color="auto" w:fill="FFFFFF"/>
          <w:lang w:val="de-CH"/>
        </w:rPr>
        <w:t xml:space="preserve"> </w:t>
      </w:r>
      <w:hyperlink r:id="rId17" w:history="1">
        <w:r w:rsidR="00724381" w:rsidRPr="00794DC4">
          <w:rPr>
            <w:rStyle w:val="Hyperlink"/>
            <w:rFonts w:cs="Arial"/>
            <w:sz w:val="24"/>
            <w:szCs w:val="24"/>
            <w:shd w:val="clear" w:color="auto" w:fill="FFFFFF"/>
            <w:lang w:val="de-CH"/>
          </w:rPr>
          <w:t>https://vranjejls.org.rs/fascikla/skupstina-grada-3/plan-razvoja-grada-2021-2030</w:t>
        </w:r>
      </w:hyperlink>
      <w:r w:rsidR="00724381" w:rsidRPr="00794DC4">
        <w:rPr>
          <w:rFonts w:cs="Arial"/>
          <w:color w:val="7030A0"/>
          <w:sz w:val="24"/>
          <w:szCs w:val="24"/>
          <w:shd w:val="clear" w:color="auto" w:fill="FFFFFF"/>
          <w:lang w:val="de-CH"/>
        </w:rPr>
        <w:t xml:space="preserve"> </w:t>
      </w:r>
      <w:r w:rsidR="00724381" w:rsidRPr="00794DC4">
        <w:rPr>
          <w:rFonts w:cs="Arial"/>
          <w:sz w:val="24"/>
          <w:szCs w:val="24"/>
          <w:shd w:val="clear" w:color="auto" w:fill="FFFFFF"/>
          <w:lang w:val="de-CH"/>
        </w:rPr>
        <w:t>, a zatim i Srednjeročni plan  za period 2022-2024. Oba dokumenta sa posebnim osvrtom na Srednjeročni plan su povezana sa programskim budžetom.</w:t>
      </w:r>
    </w:p>
    <w:p w:rsidR="005E024F" w:rsidRPr="00794DC4" w:rsidRDefault="00BF5DB9" w:rsidP="004E0294">
      <w:pPr>
        <w:pStyle w:val="NoSpacing"/>
        <w:jc w:val="both"/>
        <w:rPr>
          <w:rFonts w:cs="Arial"/>
          <w:sz w:val="24"/>
          <w:szCs w:val="24"/>
          <w:shd w:val="clear" w:color="auto" w:fill="FFFFFF"/>
          <w:lang w:val="de-CH"/>
        </w:rPr>
      </w:pPr>
      <w:r w:rsidRPr="00794DC4">
        <w:rPr>
          <w:rFonts w:cs="Arial"/>
          <w:sz w:val="24"/>
          <w:szCs w:val="24"/>
          <w:shd w:val="clear" w:color="auto" w:fill="FFFFFF"/>
          <w:lang w:val="de-CH"/>
        </w:rPr>
        <w:t>Identifikuju se četiri stuba razvoja, odnosno pprioritetnih oblasti intervencije sa svojim podoblastima:</w:t>
      </w:r>
    </w:p>
    <w:p w:rsidR="00307E9C" w:rsidRPr="00794DC4" w:rsidRDefault="00307E9C" w:rsidP="004E0294">
      <w:pPr>
        <w:pStyle w:val="NoSpacing"/>
        <w:jc w:val="both"/>
        <w:rPr>
          <w:rFonts w:cs="Arial"/>
          <w:sz w:val="24"/>
          <w:szCs w:val="24"/>
          <w:shd w:val="clear" w:color="auto" w:fill="FFFFFF"/>
          <w:lang w:val="de-CH"/>
        </w:rPr>
      </w:pPr>
    </w:p>
    <w:p w:rsidR="00BF5DB9" w:rsidRPr="00794DC4" w:rsidRDefault="00BF5DB9" w:rsidP="00BF5DB9">
      <w:pPr>
        <w:pStyle w:val="NoSpacing"/>
        <w:numPr>
          <w:ilvl w:val="0"/>
          <w:numId w:val="43"/>
        </w:numPr>
        <w:jc w:val="both"/>
        <w:rPr>
          <w:rFonts w:cs="Arial"/>
          <w:b/>
          <w:sz w:val="24"/>
          <w:szCs w:val="24"/>
          <w:shd w:val="clear" w:color="auto" w:fill="FFFFFF"/>
          <w:lang w:val="de-CH"/>
        </w:rPr>
      </w:pPr>
      <w:r w:rsidRPr="00794DC4">
        <w:rPr>
          <w:rFonts w:cs="Arial"/>
          <w:b/>
          <w:sz w:val="24"/>
          <w:szCs w:val="24"/>
          <w:shd w:val="clear" w:color="auto" w:fill="FFFFFF"/>
          <w:lang w:val="de-CH"/>
        </w:rPr>
        <w:t>Infrastruktura i održivi urbani razvoj</w:t>
      </w:r>
    </w:p>
    <w:p w:rsidR="00BF5DB9" w:rsidRPr="00794DC4" w:rsidRDefault="00BF5DB9" w:rsidP="00BF5DB9">
      <w:pPr>
        <w:pStyle w:val="NoSpacing"/>
        <w:ind w:left="720"/>
        <w:jc w:val="both"/>
        <w:rPr>
          <w:rFonts w:cs="Arial"/>
          <w:sz w:val="24"/>
          <w:szCs w:val="24"/>
          <w:shd w:val="clear" w:color="auto" w:fill="FFFFFF"/>
          <w:lang w:val="de-CH"/>
        </w:rPr>
      </w:pPr>
      <w:r w:rsidRPr="00794DC4">
        <w:rPr>
          <w:rFonts w:cs="Arial"/>
          <w:sz w:val="24"/>
          <w:szCs w:val="24"/>
          <w:shd w:val="clear" w:color="auto" w:fill="FFFFFF"/>
          <w:lang w:val="de-CH"/>
        </w:rPr>
        <w:t>(razvijanje svih oblika infrastrukture sa posebnim osvrtom na smanjenje razlika urbanog i ruralnog područja, definisanje i intenzivnija primena mera energetske efikasnosti, kao i jačanje sistema za pravovremeno i efikasno upravljanje vanrednim situacijama)</w:t>
      </w:r>
    </w:p>
    <w:p w:rsidR="00307E9C" w:rsidRPr="00794DC4" w:rsidRDefault="00307E9C" w:rsidP="00BF5DB9">
      <w:pPr>
        <w:pStyle w:val="NoSpacing"/>
        <w:ind w:left="720"/>
        <w:jc w:val="both"/>
        <w:rPr>
          <w:rFonts w:cs="Arial"/>
          <w:sz w:val="24"/>
          <w:szCs w:val="24"/>
          <w:shd w:val="clear" w:color="auto" w:fill="FFFFFF"/>
          <w:lang w:val="de-CH"/>
        </w:rPr>
      </w:pPr>
    </w:p>
    <w:p w:rsidR="00BF5DB9" w:rsidRPr="00794DC4" w:rsidRDefault="00BF5DB9" w:rsidP="00BF5DB9">
      <w:pPr>
        <w:pStyle w:val="NoSpacing"/>
        <w:numPr>
          <w:ilvl w:val="0"/>
          <w:numId w:val="43"/>
        </w:numPr>
        <w:jc w:val="both"/>
        <w:rPr>
          <w:rFonts w:cs="Arial"/>
          <w:sz w:val="24"/>
          <w:szCs w:val="24"/>
          <w:shd w:val="clear" w:color="auto" w:fill="FFFFFF"/>
          <w:lang w:val="de-CH"/>
        </w:rPr>
      </w:pPr>
      <w:r w:rsidRPr="00794DC4">
        <w:rPr>
          <w:rFonts w:cs="Arial"/>
          <w:b/>
          <w:sz w:val="24"/>
          <w:szCs w:val="24"/>
          <w:shd w:val="clear" w:color="auto" w:fill="FFFFFF"/>
          <w:lang w:val="de-CH"/>
        </w:rPr>
        <w:t>Lokalni ekonomski razvoj</w:t>
      </w:r>
    </w:p>
    <w:p w:rsidR="00BF5DB9" w:rsidRPr="00794DC4" w:rsidRDefault="00BF5DB9" w:rsidP="00BF5DB9">
      <w:pPr>
        <w:pStyle w:val="NoSpacing"/>
        <w:ind w:left="720"/>
        <w:jc w:val="both"/>
        <w:rPr>
          <w:rFonts w:cs="Arial"/>
          <w:sz w:val="24"/>
          <w:szCs w:val="24"/>
          <w:shd w:val="clear" w:color="auto" w:fill="FFFFFF"/>
          <w:lang w:val="de-CH"/>
        </w:rPr>
      </w:pPr>
      <w:r w:rsidRPr="00794DC4">
        <w:rPr>
          <w:rFonts w:cs="Arial"/>
          <w:sz w:val="24"/>
          <w:szCs w:val="24"/>
          <w:shd w:val="clear" w:color="auto" w:fill="FFFFFF"/>
          <w:lang w:val="de-CH"/>
        </w:rPr>
        <w:t>(unapređenje lokalnog poslovnog ambijenta, razvoj privredne strukture</w:t>
      </w:r>
      <w:r w:rsidR="004D3C6B" w:rsidRPr="00794DC4">
        <w:rPr>
          <w:rFonts w:cs="Arial"/>
          <w:sz w:val="24"/>
          <w:szCs w:val="24"/>
          <w:shd w:val="clear" w:color="auto" w:fill="FFFFFF"/>
          <w:lang w:val="de-CH"/>
        </w:rPr>
        <w:t xml:space="preserve"> – diverzifikacija, zasnovanost na znanju i novim tehnologijama</w:t>
      </w:r>
      <w:r w:rsidRPr="00794DC4">
        <w:rPr>
          <w:rFonts w:cs="Arial"/>
          <w:sz w:val="24"/>
          <w:szCs w:val="24"/>
          <w:shd w:val="clear" w:color="auto" w:fill="FFFFFF"/>
          <w:lang w:val="de-CH"/>
        </w:rPr>
        <w:t xml:space="preserve"> i rast makroekonomskih indikatora, sa posebnim osvrtom na porast zaposlenosti, porast zarada i rast životnog standarda)</w:t>
      </w:r>
    </w:p>
    <w:p w:rsidR="00307E9C" w:rsidRPr="00794DC4" w:rsidRDefault="00307E9C" w:rsidP="00BF5DB9">
      <w:pPr>
        <w:pStyle w:val="NoSpacing"/>
        <w:ind w:left="720"/>
        <w:jc w:val="both"/>
        <w:rPr>
          <w:rFonts w:cs="Arial"/>
          <w:sz w:val="24"/>
          <w:szCs w:val="24"/>
          <w:shd w:val="clear" w:color="auto" w:fill="FFFFFF"/>
          <w:lang w:val="de-CH"/>
        </w:rPr>
      </w:pPr>
    </w:p>
    <w:p w:rsidR="00BF5DB9" w:rsidRPr="00794DC4" w:rsidRDefault="00BF5DB9" w:rsidP="00BF5DB9">
      <w:pPr>
        <w:pStyle w:val="NoSpacing"/>
        <w:numPr>
          <w:ilvl w:val="0"/>
          <w:numId w:val="43"/>
        </w:numPr>
        <w:jc w:val="both"/>
        <w:rPr>
          <w:rFonts w:cs="Arial"/>
          <w:b/>
          <w:sz w:val="24"/>
          <w:szCs w:val="24"/>
          <w:shd w:val="clear" w:color="auto" w:fill="FFFFFF"/>
          <w:lang w:val="de-CH"/>
        </w:rPr>
      </w:pPr>
      <w:r w:rsidRPr="00794DC4">
        <w:rPr>
          <w:rFonts w:cs="Arial"/>
          <w:b/>
          <w:sz w:val="24"/>
          <w:szCs w:val="24"/>
          <w:shd w:val="clear" w:color="auto" w:fill="FFFFFF"/>
          <w:lang w:val="de-CH"/>
        </w:rPr>
        <w:t>Poljoprivreda i ruralni razvoj</w:t>
      </w:r>
    </w:p>
    <w:p w:rsidR="00BF5DB9" w:rsidRPr="00794DC4" w:rsidRDefault="00BF5DB9" w:rsidP="00BF5DB9">
      <w:pPr>
        <w:pStyle w:val="NoSpacing"/>
        <w:ind w:left="720"/>
        <w:jc w:val="both"/>
        <w:rPr>
          <w:rFonts w:cs="Arial"/>
          <w:sz w:val="24"/>
          <w:szCs w:val="24"/>
          <w:shd w:val="clear" w:color="auto" w:fill="FFFFFF"/>
          <w:lang w:val="de-CH"/>
        </w:rPr>
      </w:pPr>
      <w:r w:rsidRPr="00794DC4">
        <w:rPr>
          <w:rFonts w:cs="Arial"/>
          <w:sz w:val="24"/>
          <w:szCs w:val="24"/>
          <w:shd w:val="clear" w:color="auto" w:fill="FFFFFF"/>
          <w:lang w:val="de-CH"/>
        </w:rPr>
        <w:t>(</w:t>
      </w:r>
      <w:r w:rsidR="004D3C6B" w:rsidRPr="00794DC4">
        <w:rPr>
          <w:rFonts w:cs="Arial"/>
          <w:sz w:val="24"/>
          <w:szCs w:val="24"/>
          <w:shd w:val="clear" w:color="auto" w:fill="FFFFFF"/>
          <w:lang w:val="de-CH"/>
        </w:rPr>
        <w:t>puna valorizacija prirodnih i</w:t>
      </w:r>
      <w:r w:rsidRPr="00794DC4">
        <w:rPr>
          <w:rFonts w:cs="Arial"/>
          <w:sz w:val="24"/>
          <w:szCs w:val="24"/>
          <w:shd w:val="clear" w:color="auto" w:fill="FFFFFF"/>
          <w:lang w:val="de-CH"/>
        </w:rPr>
        <w:t xml:space="preserve"> institucionalnih prednosti za razvoj poljoprivrede i ukupan ruralni razvoj, uz očuvanje i zaštitu životne sredine)</w:t>
      </w:r>
    </w:p>
    <w:p w:rsidR="00307E9C" w:rsidRPr="00794DC4" w:rsidRDefault="00307E9C" w:rsidP="00BF5DB9">
      <w:pPr>
        <w:pStyle w:val="NoSpacing"/>
        <w:ind w:left="720"/>
        <w:jc w:val="both"/>
        <w:rPr>
          <w:rFonts w:cs="Arial"/>
          <w:sz w:val="24"/>
          <w:szCs w:val="24"/>
          <w:shd w:val="clear" w:color="auto" w:fill="FFFFFF"/>
          <w:lang w:val="de-CH"/>
        </w:rPr>
      </w:pPr>
    </w:p>
    <w:p w:rsidR="0000631E" w:rsidRPr="00794DC4" w:rsidRDefault="0000631E" w:rsidP="0000631E">
      <w:pPr>
        <w:pStyle w:val="NoSpacing"/>
        <w:numPr>
          <w:ilvl w:val="0"/>
          <w:numId w:val="43"/>
        </w:numPr>
        <w:jc w:val="both"/>
        <w:rPr>
          <w:rFonts w:cs="Arial"/>
          <w:b/>
          <w:sz w:val="24"/>
          <w:szCs w:val="24"/>
          <w:shd w:val="clear" w:color="auto" w:fill="FFFFFF"/>
          <w:lang w:val="de-CH"/>
        </w:rPr>
      </w:pPr>
      <w:r w:rsidRPr="00794DC4">
        <w:rPr>
          <w:rFonts w:cs="Arial"/>
          <w:b/>
          <w:sz w:val="24"/>
          <w:szCs w:val="24"/>
          <w:shd w:val="clear" w:color="auto" w:fill="FFFFFF"/>
          <w:lang w:val="de-CH"/>
        </w:rPr>
        <w:t>Društveni razvoj</w:t>
      </w:r>
    </w:p>
    <w:p w:rsidR="000B55C0" w:rsidRPr="00794DC4" w:rsidRDefault="000B55C0" w:rsidP="000B55C0">
      <w:pPr>
        <w:pStyle w:val="NoSpacing"/>
        <w:ind w:left="720"/>
        <w:jc w:val="both"/>
        <w:rPr>
          <w:rFonts w:cs="Arial"/>
          <w:sz w:val="24"/>
          <w:szCs w:val="24"/>
          <w:shd w:val="clear" w:color="auto" w:fill="FFFFFF"/>
        </w:rPr>
      </w:pPr>
      <w:r w:rsidRPr="00794DC4">
        <w:rPr>
          <w:rFonts w:cs="Arial"/>
          <w:sz w:val="24"/>
          <w:szCs w:val="24"/>
          <w:shd w:val="clear" w:color="auto" w:fill="FFFFFF"/>
          <w:lang w:val="de-CH"/>
        </w:rPr>
        <w:t xml:space="preserve">(moderno društvo koje neguje multikulturalnost, promoviše toleranciju, ne-diskriminaciju, suživot različitih etničkih, verskih zajednica, garantuje lične slobode i prava, kao i bezbednost za sve. </w:t>
      </w:r>
      <w:proofErr w:type="gramStart"/>
      <w:r w:rsidRPr="00794DC4">
        <w:rPr>
          <w:rFonts w:cs="Arial"/>
          <w:sz w:val="24"/>
          <w:szCs w:val="24"/>
          <w:shd w:val="clear" w:color="auto" w:fill="FFFFFF"/>
        </w:rPr>
        <w:t>Deca i mladi su resurs i potencijal bolje budućnosti.</w:t>
      </w:r>
      <w:proofErr w:type="gramEnd"/>
      <w:r w:rsidRPr="00794DC4">
        <w:rPr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="00307E9C" w:rsidRPr="00794DC4">
        <w:rPr>
          <w:rFonts w:cs="Arial"/>
          <w:sz w:val="24"/>
          <w:szCs w:val="24"/>
          <w:shd w:val="clear" w:color="auto" w:fill="FFFFFF"/>
        </w:rPr>
        <w:t xml:space="preserve">Suštinski važno je unapređenje društvene </w:t>
      </w:r>
      <w:r w:rsidR="008546CC" w:rsidRPr="00794DC4">
        <w:rPr>
          <w:rFonts w:cs="Arial"/>
          <w:sz w:val="24"/>
          <w:szCs w:val="24"/>
          <w:shd w:val="clear" w:color="auto" w:fill="FFFFFF"/>
        </w:rPr>
        <w:t>infrastruk</w:t>
      </w:r>
      <w:r w:rsidR="00307E9C" w:rsidRPr="00794DC4">
        <w:rPr>
          <w:rFonts w:cs="Arial"/>
          <w:sz w:val="24"/>
          <w:szCs w:val="24"/>
          <w:shd w:val="clear" w:color="auto" w:fill="FFFFFF"/>
        </w:rPr>
        <w:t>ture.</w:t>
      </w:r>
      <w:proofErr w:type="gramEnd"/>
    </w:p>
    <w:p w:rsidR="000B55C0" w:rsidRPr="00794DC4" w:rsidRDefault="000B55C0" w:rsidP="000B55C0">
      <w:pPr>
        <w:pStyle w:val="NoSpacing"/>
        <w:ind w:left="720"/>
        <w:jc w:val="both"/>
        <w:rPr>
          <w:rFonts w:cs="Arial"/>
          <w:sz w:val="24"/>
          <w:szCs w:val="24"/>
          <w:shd w:val="clear" w:color="auto" w:fill="FFFFFF"/>
        </w:rPr>
      </w:pPr>
      <w:proofErr w:type="gramStart"/>
      <w:r w:rsidRPr="00794DC4">
        <w:rPr>
          <w:rFonts w:cs="Arial"/>
          <w:sz w:val="24"/>
          <w:szCs w:val="24"/>
          <w:shd w:val="clear" w:color="auto" w:fill="FFFFFF"/>
        </w:rPr>
        <w:t>Moderna i efikasna lokalna administracija, digitalizacija servisa, dosledna primena propisa, kao i primena principa dobrog upravljanja.</w:t>
      </w:r>
      <w:r w:rsidR="00307E9C" w:rsidRPr="00794DC4">
        <w:rPr>
          <w:rFonts w:cs="Arial"/>
          <w:sz w:val="24"/>
          <w:szCs w:val="24"/>
          <w:shd w:val="clear" w:color="auto" w:fill="FFFFFF"/>
        </w:rPr>
        <w:t>)</w:t>
      </w:r>
      <w:proofErr w:type="gramEnd"/>
    </w:p>
    <w:p w:rsidR="005E024F" w:rsidRPr="00794DC4" w:rsidRDefault="005E024F" w:rsidP="004E0294">
      <w:pPr>
        <w:pStyle w:val="NoSpacing"/>
        <w:jc w:val="both"/>
        <w:rPr>
          <w:rFonts w:cs="Arial"/>
          <w:color w:val="7030A0"/>
          <w:sz w:val="24"/>
          <w:szCs w:val="24"/>
          <w:shd w:val="clear" w:color="auto" w:fill="FFFFFF"/>
        </w:rPr>
      </w:pPr>
    </w:p>
    <w:p w:rsidR="004E0294" w:rsidRPr="00794DC4" w:rsidRDefault="004E0294" w:rsidP="004E0294">
      <w:pPr>
        <w:rPr>
          <w:sz w:val="24"/>
          <w:szCs w:val="24"/>
        </w:rPr>
      </w:pPr>
    </w:p>
    <w:p w:rsidR="00A14E03" w:rsidRPr="00CF1D29" w:rsidRDefault="00E30BD7" w:rsidP="005F5C84">
      <w:pPr>
        <w:pStyle w:val="NoSpacing"/>
        <w:pageBreakBefore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CF1D29">
        <w:rPr>
          <w:rFonts w:cstheme="minorHAnsi"/>
          <w:b/>
          <w:bCs/>
          <w:sz w:val="24"/>
          <w:szCs w:val="24"/>
        </w:rPr>
        <w:lastRenderedPageBreak/>
        <w:t>Prednosti poslovanja u Srbiji</w:t>
      </w:r>
    </w:p>
    <w:p w:rsidR="005F5C84" w:rsidRPr="00CF1D29" w:rsidRDefault="005F5C84" w:rsidP="00E30BD7">
      <w:pPr>
        <w:pStyle w:val="NoSpacing"/>
        <w:rPr>
          <w:rFonts w:cstheme="minorHAnsi"/>
          <w:i/>
          <w:iCs/>
          <w:color w:val="4472C4" w:themeColor="accent1"/>
          <w:sz w:val="24"/>
          <w:szCs w:val="24"/>
        </w:rPr>
      </w:pPr>
    </w:p>
    <w:p w:rsidR="00641B93" w:rsidRPr="00DA05E2" w:rsidRDefault="00641B93" w:rsidP="00E30BD7">
      <w:pPr>
        <w:pStyle w:val="NoSpacing"/>
        <w:rPr>
          <w:rFonts w:cstheme="minorHAnsi"/>
          <w:sz w:val="24"/>
          <w:szCs w:val="24"/>
          <w:lang w:val="de-CH"/>
        </w:rPr>
      </w:pPr>
    </w:p>
    <w:p w:rsidR="00E30BD7" w:rsidRPr="00DA05E2" w:rsidRDefault="00E30BD7" w:rsidP="00E30BD7">
      <w:pPr>
        <w:pStyle w:val="NoSpacing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 xml:space="preserve">Zajedno sa započetim ekonomskim reformama, Srbija se pozicionirala kao jedna od najznačajnijih investicionih destinacija Centralne i Istočne Evrope. </w:t>
      </w:r>
    </w:p>
    <w:p w:rsidR="00641B93" w:rsidRPr="00DA05E2" w:rsidRDefault="00641B93" w:rsidP="00E30BD7">
      <w:pPr>
        <w:pStyle w:val="NoSpacing"/>
        <w:rPr>
          <w:rFonts w:cstheme="minorHAnsi"/>
          <w:sz w:val="24"/>
          <w:szCs w:val="24"/>
          <w:lang w:val="de-CH"/>
        </w:rPr>
      </w:pPr>
    </w:p>
    <w:p w:rsidR="00E30BD7" w:rsidRPr="00DA05E2" w:rsidRDefault="00E30BD7" w:rsidP="00E30BD7">
      <w:pPr>
        <w:pStyle w:val="NoSpacing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Prednosti poslovanja u Srbiji ogledaju se kroz:</w:t>
      </w:r>
    </w:p>
    <w:p w:rsidR="00E30BD7" w:rsidRPr="00DA05E2" w:rsidRDefault="00E30BD7" w:rsidP="00E30BD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Konkurentne poreske stope – PDV, Porez na dobit itd. su među najnižima u Evropi.</w:t>
      </w:r>
    </w:p>
    <w:p w:rsidR="00E30BD7" w:rsidRPr="00DA05E2" w:rsidRDefault="00E30BD7" w:rsidP="00E30BD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Restruktuiran i stabilan finansijski sistem.</w:t>
      </w:r>
    </w:p>
    <w:p w:rsidR="00E30BD7" w:rsidRPr="00CF1D29" w:rsidRDefault="00E30BD7" w:rsidP="00E30BD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Jednostavne procedure osnivanja i registracije preduzeća.</w:t>
      </w:r>
    </w:p>
    <w:p w:rsidR="00E30BD7" w:rsidRPr="00CF1D29" w:rsidRDefault="00E30BD7" w:rsidP="00E30BD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Jednostavne procedure za obavljanje spoljno-trgovinskog posla i realizaciju ulaganja.</w:t>
      </w:r>
    </w:p>
    <w:p w:rsidR="00E30BD7" w:rsidRPr="00CF1D29" w:rsidRDefault="00E30BD7" w:rsidP="00E30BD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Slobodan pristup tržištu </w:t>
      </w:r>
      <w:proofErr w:type="gramStart"/>
      <w:r w:rsidRPr="00CF1D29">
        <w:rPr>
          <w:rFonts w:cstheme="minorHAnsi"/>
          <w:sz w:val="24"/>
          <w:szCs w:val="24"/>
        </w:rPr>
        <w:t>od</w:t>
      </w:r>
      <w:proofErr w:type="gramEnd"/>
      <w:r w:rsidRPr="00CF1D29">
        <w:rPr>
          <w:rFonts w:cstheme="minorHAnsi"/>
          <w:sz w:val="24"/>
          <w:szCs w:val="24"/>
        </w:rPr>
        <w:t xml:space="preserve"> preko 1.1 milijarde potrošača. Eksterno, Srbija može služiti kao proizvodni centar za bescarinski izvoz na tržište od više od 1 milijarde ljudi koje uključuje Evropsku uniju, Rusku Federaciju, SAD, Kazahstan, Tursku, zemlje CEFTA - Albanija, Bosna i Hercegovina, Crna Gora, Severna Makedonija, Moldavija, Srbija i UNMIK/Kosovo, članove Sporazuma o slobodnoj trgovini sa zemljama EFTA - Island, Lihtenštajn, Norveška i Švajcarska i sporazum sa Belorusijom.</w:t>
      </w:r>
    </w:p>
    <w:p w:rsidR="008D69C0" w:rsidRDefault="00E30BD7" w:rsidP="00C27C94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>Kvalitetno poslovno okruženje u Srbiji uz sistem podsticajnih mera koje daje država.</w:t>
      </w:r>
      <w:r w:rsidR="00794DC4">
        <w:rPr>
          <w:rFonts w:cstheme="minorHAnsi"/>
          <w:sz w:val="24"/>
          <w:szCs w:val="24"/>
        </w:rPr>
        <w:t xml:space="preserve">     </w:t>
      </w:r>
    </w:p>
    <w:p w:rsidR="008551F1" w:rsidRPr="00CF1D29" w:rsidRDefault="00E30BD7" w:rsidP="008D69C0">
      <w:pPr>
        <w:pStyle w:val="NoSpacing"/>
        <w:pageBreakBefore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CF1D29">
        <w:rPr>
          <w:rFonts w:cstheme="minorHAnsi"/>
          <w:b/>
          <w:bCs/>
          <w:sz w:val="24"/>
          <w:szCs w:val="24"/>
        </w:rPr>
        <w:lastRenderedPageBreak/>
        <w:t>Prednosti poslovanja u opštini</w:t>
      </w:r>
    </w:p>
    <w:p w:rsidR="00A246DA" w:rsidRPr="00794DC4" w:rsidRDefault="00A246DA" w:rsidP="00794DC4">
      <w:pPr>
        <w:pStyle w:val="NoSpacing"/>
        <w:rPr>
          <w:rFonts w:cstheme="minorHAnsi"/>
          <w:i/>
          <w:iCs/>
          <w:color w:val="4472C4" w:themeColor="accent1"/>
          <w:sz w:val="24"/>
          <w:szCs w:val="24"/>
        </w:rPr>
      </w:pPr>
    </w:p>
    <w:p w:rsidR="00A246DA" w:rsidRDefault="00A246DA" w:rsidP="00A246D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7030A0"/>
        </w:rPr>
        <w:t xml:space="preserve">             </w:t>
      </w:r>
      <w:r w:rsidRPr="00794DC4">
        <w:rPr>
          <w:rFonts w:cstheme="minorHAnsi"/>
          <w:sz w:val="24"/>
          <w:szCs w:val="24"/>
        </w:rPr>
        <w:t xml:space="preserve">Lokalni ekonomski razvoj je jedan od strateških prioriteta grada Vranja kao centra Pčinjskog okruga  i  obuhvata različite oblike i nivoe intervencija, koje uključuju strateško i urbanističko planiranje, projektovanje i izgradnju infastrukture, promovisanje investicionih potencijala, ali i različite mere podrške otvaranju novih radnih mesta kod postojećih i budućih investitora. </w:t>
      </w:r>
    </w:p>
    <w:p w:rsidR="006146DD" w:rsidRPr="00794DC4" w:rsidRDefault="006146DD" w:rsidP="00A246DA">
      <w:pPr>
        <w:pStyle w:val="NoSpacing"/>
        <w:jc w:val="both"/>
        <w:rPr>
          <w:rFonts w:cstheme="minorHAnsi"/>
          <w:sz w:val="24"/>
          <w:szCs w:val="24"/>
        </w:rPr>
      </w:pPr>
    </w:p>
    <w:p w:rsidR="00A246DA" w:rsidRDefault="00A246DA" w:rsidP="00A246DA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 Ekonomski razvoj, posebno usmeren strateškim dokumentima poput Plana razvoja, Srednjeročnog plana i Plana kapitalnih investicija, počiva i na valorizaciji  potencijala grada Vranja, lociranog na koridoru 10, grada bogate industrijske i izvozne tradicije, raspoložive i kvalifikovane radne snage, sa izvanrednim i prirodnim potencijalima, poput Vranjske Banje – najtoplije banje u Evropi, planine Besne kobile, ali i resursima iz oblasti obnovljive energije.</w:t>
      </w:r>
    </w:p>
    <w:p w:rsidR="006146DD" w:rsidRPr="00794DC4" w:rsidRDefault="006146DD" w:rsidP="00A246DA">
      <w:pPr>
        <w:pStyle w:val="NoSpacing"/>
        <w:jc w:val="both"/>
        <w:rPr>
          <w:rFonts w:cstheme="minorHAnsi"/>
          <w:sz w:val="24"/>
          <w:szCs w:val="24"/>
        </w:rPr>
      </w:pPr>
    </w:p>
    <w:p w:rsidR="00A246DA" w:rsidRDefault="00A246DA" w:rsidP="00A246DA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 Moderna i efikasna Gradska </w:t>
      </w:r>
      <w:proofErr w:type="gramStart"/>
      <w:r w:rsidRPr="00794DC4">
        <w:rPr>
          <w:rFonts w:cstheme="minorHAnsi"/>
          <w:sz w:val="24"/>
          <w:szCs w:val="24"/>
        </w:rPr>
        <w:t>uprava  podrazumeva</w:t>
      </w:r>
      <w:proofErr w:type="gramEnd"/>
      <w:r w:rsidRPr="00794DC4">
        <w:rPr>
          <w:rFonts w:cstheme="minorHAnsi"/>
          <w:sz w:val="24"/>
          <w:szCs w:val="24"/>
        </w:rPr>
        <w:t xml:space="preserve"> kreiranje i  implementaciju rešenja za brže, bolje i lakše servisiranje potreba privrede, sa posebnim osvrtom na e-upravu.</w:t>
      </w:r>
    </w:p>
    <w:p w:rsidR="006146DD" w:rsidRPr="00794DC4" w:rsidRDefault="006146DD" w:rsidP="00A246DA">
      <w:pPr>
        <w:pStyle w:val="NoSpacing"/>
        <w:jc w:val="both"/>
        <w:rPr>
          <w:rFonts w:cstheme="minorHAnsi"/>
          <w:sz w:val="24"/>
          <w:szCs w:val="24"/>
        </w:rPr>
      </w:pPr>
    </w:p>
    <w:p w:rsidR="006146DD" w:rsidRDefault="00A246DA" w:rsidP="00A246DA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 Geografski informacioni sistem (GIS</w:t>
      </w:r>
      <w:r w:rsidRPr="00794DC4">
        <w:rPr>
          <w:rFonts w:cstheme="minorHAnsi"/>
          <w:color w:val="7030A0"/>
          <w:sz w:val="24"/>
          <w:szCs w:val="24"/>
        </w:rPr>
        <w:t xml:space="preserve">) </w:t>
      </w:r>
      <w:hyperlink r:id="rId18" w:anchor="/" w:history="1">
        <w:r w:rsidRPr="00794DC4">
          <w:rPr>
            <w:rStyle w:val="Hyperlink"/>
            <w:rFonts w:cstheme="minorHAnsi"/>
            <w:sz w:val="24"/>
            <w:szCs w:val="24"/>
          </w:rPr>
          <w:t>https://www.gisvranje.org.rs/#/</w:t>
        </w:r>
      </w:hyperlink>
      <w:r w:rsidR="00794DC4">
        <w:rPr>
          <w:sz w:val="24"/>
          <w:szCs w:val="24"/>
        </w:rPr>
        <w:t xml:space="preserve"> </w:t>
      </w:r>
      <w:r w:rsidRPr="00794DC4">
        <w:rPr>
          <w:rFonts w:cstheme="minorHAnsi"/>
          <w:sz w:val="24"/>
          <w:szCs w:val="24"/>
        </w:rPr>
        <w:t xml:space="preserve">je primer informacionog alata za geo-referenciranje, kojim se olakšava proces donošenja odluka, </w:t>
      </w:r>
      <w:proofErr w:type="gramStart"/>
      <w:r w:rsidRPr="00794DC4">
        <w:rPr>
          <w:rFonts w:cstheme="minorHAnsi"/>
          <w:sz w:val="24"/>
          <w:szCs w:val="24"/>
        </w:rPr>
        <w:t>ali</w:t>
      </w:r>
      <w:proofErr w:type="gramEnd"/>
      <w:r w:rsidRPr="00794DC4">
        <w:rPr>
          <w:rFonts w:cstheme="minorHAnsi"/>
          <w:sz w:val="24"/>
          <w:szCs w:val="24"/>
        </w:rPr>
        <w:t xml:space="preserve"> i značajno unapređuje rad lokalne samouprave, sa posebnim osvrtom na primenu principa dobrog upravljanja.  </w:t>
      </w:r>
    </w:p>
    <w:p w:rsidR="00A246DA" w:rsidRPr="00794DC4" w:rsidRDefault="00A246DA" w:rsidP="00A246DA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</w:t>
      </w:r>
    </w:p>
    <w:p w:rsidR="00A246DA" w:rsidRDefault="00A246DA" w:rsidP="00A246DA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 Uspostavljanje i infrastrukturno opremanje Slobodne zone Vranje, na površini od preko 100ha, u vlasništvu grada Vranja, je jedan od najznačajnijih, dugoročnih, višefaznih projekata. </w:t>
      </w:r>
      <w:r w:rsidR="006146DD">
        <w:rPr>
          <w:rFonts w:cstheme="minorHAnsi"/>
          <w:sz w:val="24"/>
          <w:szCs w:val="24"/>
        </w:rPr>
        <w:t xml:space="preserve">  </w:t>
      </w:r>
      <w:r w:rsidRPr="00794DC4">
        <w:rPr>
          <w:rFonts w:cstheme="minorHAnsi"/>
          <w:sz w:val="24"/>
          <w:szCs w:val="24"/>
        </w:rPr>
        <w:t xml:space="preserve">Investitorima su </w:t>
      </w:r>
      <w:proofErr w:type="gramStart"/>
      <w:r w:rsidRPr="00794DC4">
        <w:rPr>
          <w:rFonts w:cstheme="minorHAnsi"/>
          <w:sz w:val="24"/>
          <w:szCs w:val="24"/>
        </w:rPr>
        <w:t>na</w:t>
      </w:r>
      <w:proofErr w:type="gramEnd"/>
      <w:r w:rsidRPr="00794DC4">
        <w:rPr>
          <w:rFonts w:cstheme="minorHAnsi"/>
          <w:sz w:val="24"/>
          <w:szCs w:val="24"/>
        </w:rPr>
        <w:t xml:space="preserve"> raspolaganju plansko-urbanistički razrađene, infrastrukturno opremljene grinfild lokacije, dok rad u režimu Slobodne zone podrazumeva čitav niz carinskih, fiskalnih, finansijskih, administrativnih i logističkih olakšica. </w:t>
      </w:r>
      <w:proofErr w:type="gramStart"/>
      <w:r w:rsidRPr="00794DC4">
        <w:rPr>
          <w:rFonts w:cstheme="minorHAnsi"/>
          <w:sz w:val="24"/>
          <w:szCs w:val="24"/>
        </w:rPr>
        <w:t>U režimu Slobodne zone se nalazi i preko 40.000m2 braunfild kapaciteta (u nadležnosti Republičke direkcije za imovinu) u okviru kompleksa Kompanije Jumko.</w:t>
      </w:r>
      <w:proofErr w:type="gramEnd"/>
    </w:p>
    <w:p w:rsidR="006146DD" w:rsidRPr="00794DC4" w:rsidRDefault="006146DD" w:rsidP="00A246DA">
      <w:pPr>
        <w:pStyle w:val="NoSpacing"/>
        <w:jc w:val="both"/>
        <w:rPr>
          <w:rFonts w:cstheme="minorHAnsi"/>
          <w:sz w:val="24"/>
          <w:szCs w:val="24"/>
        </w:rPr>
      </w:pPr>
    </w:p>
    <w:p w:rsidR="008546CC" w:rsidRPr="00794DC4" w:rsidRDefault="008546CC" w:rsidP="00A246DA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</w:t>
      </w:r>
      <w:proofErr w:type="gramStart"/>
      <w:r w:rsidRPr="00794DC4">
        <w:rPr>
          <w:rFonts w:cstheme="minorHAnsi"/>
          <w:sz w:val="24"/>
          <w:szCs w:val="24"/>
        </w:rPr>
        <w:t>Investicione lokacije Vranja dostupne i preko RGZ –Registar investicionih lokacija</w:t>
      </w:r>
      <w:r w:rsidR="00B81C01" w:rsidRPr="00794DC4">
        <w:rPr>
          <w:rFonts w:cstheme="minorHAnsi"/>
          <w:sz w:val="24"/>
          <w:szCs w:val="24"/>
        </w:rPr>
        <w:t>.</w:t>
      </w:r>
      <w:proofErr w:type="gramEnd"/>
      <w:r w:rsidRPr="00794DC4">
        <w:rPr>
          <w:rFonts w:cstheme="minorHAnsi"/>
          <w:sz w:val="24"/>
          <w:szCs w:val="24"/>
        </w:rPr>
        <w:t xml:space="preserve"> </w:t>
      </w:r>
    </w:p>
    <w:p w:rsidR="00A246DA" w:rsidRDefault="00A246DA" w:rsidP="00A246DA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 </w:t>
      </w:r>
      <w:proofErr w:type="gramStart"/>
      <w:r w:rsidRPr="00794DC4">
        <w:rPr>
          <w:rFonts w:cstheme="minorHAnsi"/>
          <w:sz w:val="24"/>
          <w:szCs w:val="24"/>
        </w:rPr>
        <w:t>Na teritoriji grada Vranja su planovima detaljne regulacije pokrivene i lokacije ostalih proizvodno - poslovnih zona (primer zone u Neradovcu, Ribincu itd).</w:t>
      </w:r>
      <w:proofErr w:type="gramEnd"/>
    </w:p>
    <w:p w:rsidR="006146DD" w:rsidRPr="00794DC4" w:rsidRDefault="006146DD" w:rsidP="00A246DA">
      <w:pPr>
        <w:pStyle w:val="NoSpacing"/>
        <w:jc w:val="both"/>
        <w:rPr>
          <w:rFonts w:cstheme="minorHAnsi"/>
          <w:sz w:val="24"/>
          <w:szCs w:val="24"/>
        </w:rPr>
      </w:pPr>
    </w:p>
    <w:p w:rsidR="00A246DA" w:rsidRDefault="00A246DA" w:rsidP="00A246DA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 Kapitalne investicije poput Obilaznice do Slobo</w:t>
      </w:r>
      <w:r w:rsidR="008546CC" w:rsidRPr="00794DC4">
        <w:rPr>
          <w:rFonts w:cstheme="minorHAnsi"/>
          <w:sz w:val="24"/>
          <w:szCs w:val="24"/>
        </w:rPr>
        <w:t>dne zone, Postrojenja</w:t>
      </w:r>
      <w:r w:rsidRPr="00794DC4">
        <w:rPr>
          <w:rFonts w:cstheme="minorHAnsi"/>
          <w:sz w:val="24"/>
          <w:szCs w:val="24"/>
        </w:rPr>
        <w:t xml:space="preserve"> za tretman otpadnih voda, </w:t>
      </w:r>
      <w:r w:rsidR="008546CC" w:rsidRPr="00794DC4">
        <w:rPr>
          <w:rFonts w:cstheme="minorHAnsi"/>
          <w:sz w:val="24"/>
          <w:szCs w:val="24"/>
        </w:rPr>
        <w:t>Regionalnog cent</w:t>
      </w:r>
      <w:r w:rsidRPr="00794DC4">
        <w:rPr>
          <w:rFonts w:cstheme="minorHAnsi"/>
          <w:sz w:val="24"/>
          <w:szCs w:val="24"/>
        </w:rPr>
        <w:t>r</w:t>
      </w:r>
      <w:r w:rsidR="008546CC" w:rsidRPr="00794DC4">
        <w:rPr>
          <w:rFonts w:cstheme="minorHAnsi"/>
          <w:sz w:val="24"/>
          <w:szCs w:val="24"/>
        </w:rPr>
        <w:t>a</w:t>
      </w:r>
      <w:r w:rsidRPr="00794DC4">
        <w:rPr>
          <w:rFonts w:cstheme="minorHAnsi"/>
          <w:sz w:val="24"/>
          <w:szCs w:val="24"/>
        </w:rPr>
        <w:t xml:space="preserve"> za upravljanje otpadom “Meteris”, bran</w:t>
      </w:r>
      <w:r w:rsidR="008546CC" w:rsidRPr="00794DC4">
        <w:rPr>
          <w:rFonts w:cstheme="minorHAnsi"/>
          <w:sz w:val="24"/>
          <w:szCs w:val="24"/>
        </w:rPr>
        <w:t>e Prvonek, Regionalnog cent</w:t>
      </w:r>
      <w:r w:rsidRPr="00794DC4">
        <w:rPr>
          <w:rFonts w:cstheme="minorHAnsi"/>
          <w:sz w:val="24"/>
          <w:szCs w:val="24"/>
        </w:rPr>
        <w:t>r</w:t>
      </w:r>
      <w:r w:rsidR="008546CC" w:rsidRPr="00794DC4">
        <w:rPr>
          <w:rFonts w:cstheme="minorHAnsi"/>
          <w:sz w:val="24"/>
          <w:szCs w:val="24"/>
        </w:rPr>
        <w:t>a</w:t>
      </w:r>
      <w:r w:rsidRPr="00794DC4">
        <w:rPr>
          <w:rFonts w:cstheme="minorHAnsi"/>
          <w:sz w:val="24"/>
          <w:szCs w:val="24"/>
        </w:rPr>
        <w:t xml:space="preserve"> za vanredne situacije, doprinose stvaranju neophodnih infrastrukturnih pretpostavki za nesmetano i održivo funkcionisanje rastuće privrede.</w:t>
      </w:r>
    </w:p>
    <w:p w:rsidR="006146DD" w:rsidRPr="00794DC4" w:rsidRDefault="006146DD" w:rsidP="00A246DA">
      <w:pPr>
        <w:pStyle w:val="NoSpacing"/>
        <w:jc w:val="both"/>
        <w:rPr>
          <w:rFonts w:cstheme="minorHAnsi"/>
          <w:sz w:val="24"/>
          <w:szCs w:val="24"/>
        </w:rPr>
      </w:pPr>
    </w:p>
    <w:p w:rsidR="00A246DA" w:rsidRDefault="00A246DA" w:rsidP="00A246DA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 Merama aktivne politike zapošljavanja, olakšicama za privredu kroz Skupštinske odluke, realizacijom ostalih projekata podrške </w:t>
      </w:r>
      <w:proofErr w:type="gramStart"/>
      <w:r w:rsidRPr="00794DC4">
        <w:rPr>
          <w:rFonts w:cstheme="minorHAnsi"/>
          <w:sz w:val="24"/>
          <w:szCs w:val="24"/>
        </w:rPr>
        <w:t>zapošljavanju ,</w:t>
      </w:r>
      <w:proofErr w:type="gramEnd"/>
      <w:r w:rsidRPr="00794DC4">
        <w:rPr>
          <w:rFonts w:cstheme="minorHAnsi"/>
          <w:sz w:val="24"/>
          <w:szCs w:val="24"/>
        </w:rPr>
        <w:t xml:space="preserve"> se između ostalog daje podrška daljem razvoju MSPP sektora.</w:t>
      </w:r>
    </w:p>
    <w:p w:rsidR="006146DD" w:rsidRPr="00794DC4" w:rsidRDefault="006146DD" w:rsidP="00A246DA">
      <w:pPr>
        <w:pStyle w:val="NoSpacing"/>
        <w:jc w:val="both"/>
        <w:rPr>
          <w:rFonts w:cstheme="minorHAnsi"/>
          <w:sz w:val="24"/>
          <w:szCs w:val="24"/>
        </w:rPr>
      </w:pPr>
    </w:p>
    <w:p w:rsidR="00A246DA" w:rsidRDefault="00A246DA" w:rsidP="00A246DA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 </w:t>
      </w:r>
      <w:proofErr w:type="gramStart"/>
      <w:r w:rsidRPr="00794DC4">
        <w:rPr>
          <w:rFonts w:cstheme="minorHAnsi"/>
          <w:sz w:val="24"/>
          <w:szCs w:val="24"/>
        </w:rPr>
        <w:t>Ulaganje u obrazovanje i razvoj kadrova je determinanta održivog razvoja u celini.</w:t>
      </w:r>
      <w:proofErr w:type="gramEnd"/>
      <w:r w:rsidRPr="00794DC4">
        <w:rPr>
          <w:rFonts w:cstheme="minorHAnsi"/>
          <w:sz w:val="24"/>
          <w:szCs w:val="24"/>
        </w:rPr>
        <w:t xml:space="preserve"> Projekti poput dualnog obrazovanja, otvaranja novih obrazovnih profila, modernizacije sistema obrazovanja, omogućavaju razvoj radne snage u skladu </w:t>
      </w:r>
      <w:proofErr w:type="gramStart"/>
      <w:r w:rsidRPr="00794DC4">
        <w:rPr>
          <w:rFonts w:cstheme="minorHAnsi"/>
          <w:sz w:val="24"/>
          <w:szCs w:val="24"/>
        </w:rPr>
        <w:t>sa</w:t>
      </w:r>
      <w:proofErr w:type="gramEnd"/>
      <w:r w:rsidRPr="00794DC4">
        <w:rPr>
          <w:rFonts w:cstheme="minorHAnsi"/>
          <w:sz w:val="24"/>
          <w:szCs w:val="24"/>
        </w:rPr>
        <w:t xml:space="preserve"> potrebama privrede. </w:t>
      </w:r>
      <w:r w:rsidRPr="00794DC4">
        <w:rPr>
          <w:rFonts w:cstheme="minorHAnsi"/>
          <w:sz w:val="24"/>
          <w:szCs w:val="24"/>
        </w:rPr>
        <w:lastRenderedPageBreak/>
        <w:t xml:space="preserve">Trening centar za razvoj radne snage I Obrazovni-naučni centar su samo neki </w:t>
      </w:r>
      <w:proofErr w:type="gramStart"/>
      <w:r w:rsidRPr="00794DC4">
        <w:rPr>
          <w:rFonts w:cstheme="minorHAnsi"/>
          <w:sz w:val="24"/>
          <w:szCs w:val="24"/>
        </w:rPr>
        <w:t>od</w:t>
      </w:r>
      <w:proofErr w:type="gramEnd"/>
      <w:r w:rsidRPr="00794DC4">
        <w:rPr>
          <w:rFonts w:cstheme="minorHAnsi"/>
          <w:sz w:val="24"/>
          <w:szCs w:val="24"/>
        </w:rPr>
        <w:t xml:space="preserve"> primera inovativnih i održivih rešenja.</w:t>
      </w:r>
    </w:p>
    <w:p w:rsidR="006146DD" w:rsidRPr="00794DC4" w:rsidRDefault="006146DD" w:rsidP="00A246DA">
      <w:pPr>
        <w:pStyle w:val="NoSpacing"/>
        <w:jc w:val="both"/>
        <w:rPr>
          <w:rFonts w:cstheme="minorHAnsi"/>
          <w:sz w:val="24"/>
          <w:szCs w:val="24"/>
        </w:rPr>
      </w:pPr>
    </w:p>
    <w:p w:rsidR="00A246DA" w:rsidRDefault="00A246DA" w:rsidP="00A246DA">
      <w:pPr>
        <w:pStyle w:val="NoSpacing"/>
        <w:jc w:val="both"/>
        <w:rPr>
          <w:rFonts w:cstheme="minorHAnsi"/>
          <w:sz w:val="24"/>
          <w:szCs w:val="24"/>
        </w:rPr>
      </w:pPr>
      <w:r w:rsidRPr="00794DC4">
        <w:rPr>
          <w:rFonts w:cstheme="minorHAnsi"/>
          <w:sz w:val="24"/>
          <w:szCs w:val="24"/>
        </w:rPr>
        <w:t xml:space="preserve">             U gradu Vranju posluje veliki broj domaćih i inostranih kompanija, među kojima su i SIMPO, JUMKO, ALFA-PLAM, British American Tobacco, Top sofa, Teklas automotive, Kentaur Balkans, Haix, Kenda Farben, Kavim itd.</w:t>
      </w:r>
      <w:r w:rsidR="00794DC4">
        <w:rPr>
          <w:rFonts w:cstheme="minorHAnsi"/>
          <w:sz w:val="24"/>
          <w:szCs w:val="24"/>
        </w:rPr>
        <w:t xml:space="preserve"> </w:t>
      </w:r>
      <w:r w:rsidRPr="00794DC4">
        <w:rPr>
          <w:rFonts w:cstheme="minorHAnsi"/>
          <w:sz w:val="24"/>
          <w:szCs w:val="24"/>
        </w:rPr>
        <w:t xml:space="preserve">Dokaz da je Vranje prepoznatljivo i </w:t>
      </w:r>
      <w:proofErr w:type="gramStart"/>
      <w:r w:rsidRPr="00794DC4">
        <w:rPr>
          <w:rFonts w:cstheme="minorHAnsi"/>
          <w:sz w:val="24"/>
          <w:szCs w:val="24"/>
        </w:rPr>
        <w:t>na</w:t>
      </w:r>
      <w:proofErr w:type="gramEnd"/>
      <w:r w:rsidRPr="00794DC4">
        <w:rPr>
          <w:rFonts w:cstheme="minorHAnsi"/>
          <w:sz w:val="24"/>
          <w:szCs w:val="24"/>
        </w:rPr>
        <w:t xml:space="preserve"> međunarodnoj investicionoj mapi su, između ostalog, nekoliko priznanja Fajnenšel Tajmsa – FDI magazina za postojanje strategija za privlačenje investitora i isplativost ulaganja investitora, u prethodnom periodu.</w:t>
      </w:r>
    </w:p>
    <w:p w:rsidR="006146DD" w:rsidRPr="00794DC4" w:rsidRDefault="006146DD" w:rsidP="00A246DA">
      <w:pPr>
        <w:pStyle w:val="NoSpacing"/>
        <w:jc w:val="both"/>
        <w:rPr>
          <w:rFonts w:cstheme="minorHAnsi"/>
          <w:sz w:val="24"/>
          <w:szCs w:val="24"/>
        </w:rPr>
      </w:pPr>
    </w:p>
    <w:p w:rsidR="00E30BD7" w:rsidRPr="00A246DA" w:rsidRDefault="00A246DA" w:rsidP="00A246DA">
      <w:pPr>
        <w:pStyle w:val="NoSpacing"/>
        <w:jc w:val="both"/>
        <w:rPr>
          <w:rFonts w:cstheme="minorHAnsi"/>
          <w:color w:val="7030A0"/>
        </w:rPr>
      </w:pPr>
      <w:r w:rsidRPr="00794DC4">
        <w:rPr>
          <w:rFonts w:cstheme="minorHAnsi"/>
          <w:sz w:val="24"/>
          <w:szCs w:val="24"/>
        </w:rPr>
        <w:t xml:space="preserve">            Sertifikat za opštine </w:t>
      </w:r>
      <w:proofErr w:type="gramStart"/>
      <w:r w:rsidRPr="00794DC4">
        <w:rPr>
          <w:rFonts w:cstheme="minorHAnsi"/>
          <w:sz w:val="24"/>
          <w:szCs w:val="24"/>
        </w:rPr>
        <w:t>sa</w:t>
      </w:r>
      <w:proofErr w:type="gramEnd"/>
      <w:r w:rsidRPr="00794DC4">
        <w:rPr>
          <w:rFonts w:cstheme="minorHAnsi"/>
          <w:sz w:val="24"/>
          <w:szCs w:val="24"/>
        </w:rPr>
        <w:t xml:space="preserve"> dobrim poslovnim okruženjem, titula vicešampiona lokalnog ekonomskog razvoja, priznanja za transparentnost, brzo izdavanje dozvola, i ostale nagrade su refleksija odgovornog, ozbiljnog i proaktivnog pristupa lokalne samouprave Vranje održivom razvoju. </w:t>
      </w:r>
      <w:r w:rsidRPr="00A246DA">
        <w:rPr>
          <w:rFonts w:cstheme="minorHAnsi"/>
          <w:color w:val="7030A0"/>
        </w:rPr>
        <w:t xml:space="preserve">        </w:t>
      </w:r>
    </w:p>
    <w:p w:rsidR="00E30BD7" w:rsidRPr="00CF1D29" w:rsidRDefault="00DC1393" w:rsidP="008D69C0">
      <w:pPr>
        <w:pStyle w:val="NoSpacing"/>
        <w:pageBreakBefore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CF1D29">
        <w:rPr>
          <w:rFonts w:cstheme="minorHAnsi"/>
          <w:b/>
          <w:bCs/>
          <w:sz w:val="24"/>
          <w:szCs w:val="24"/>
        </w:rPr>
        <w:lastRenderedPageBreak/>
        <w:t>Podrška poslovanju na nacionalnom nivou</w:t>
      </w:r>
    </w:p>
    <w:p w:rsidR="008D69C0" w:rsidRPr="00CF1D29" w:rsidRDefault="008D69C0" w:rsidP="00DC1393">
      <w:pPr>
        <w:pStyle w:val="NoSpacing"/>
        <w:rPr>
          <w:rFonts w:cstheme="minorHAnsi"/>
          <w:sz w:val="24"/>
          <w:szCs w:val="24"/>
        </w:rPr>
      </w:pPr>
    </w:p>
    <w:p w:rsidR="00DC1393" w:rsidRPr="00CF1D29" w:rsidRDefault="00DC1393" w:rsidP="00DC1393">
      <w:pPr>
        <w:pStyle w:val="NoSpacing"/>
        <w:rPr>
          <w:rFonts w:cstheme="minorHAnsi"/>
          <w:sz w:val="24"/>
          <w:szCs w:val="24"/>
        </w:rPr>
      </w:pPr>
    </w:p>
    <w:p w:rsidR="00DC1393" w:rsidRPr="00CF1D29" w:rsidRDefault="00DC1393" w:rsidP="00DC1393">
      <w:pPr>
        <w:pStyle w:val="NoSpacing"/>
        <w:rPr>
          <w:rFonts w:cstheme="minorHAnsi"/>
          <w:sz w:val="24"/>
          <w:szCs w:val="24"/>
        </w:rPr>
      </w:pPr>
      <w:proofErr w:type="gramStart"/>
      <w:r w:rsidRPr="00CF1D29">
        <w:rPr>
          <w:rFonts w:cstheme="minorHAnsi"/>
          <w:sz w:val="24"/>
          <w:szCs w:val="24"/>
        </w:rPr>
        <w:t xml:space="preserve">U Srbiji postoji državni sistem podsticaja </w:t>
      </w:r>
      <w:r w:rsidR="008D69C0" w:rsidRPr="00CF1D29">
        <w:rPr>
          <w:rFonts w:cstheme="minorHAnsi"/>
          <w:sz w:val="24"/>
          <w:szCs w:val="24"/>
        </w:rPr>
        <w:t>investicijama i privatnom biznisu</w:t>
      </w:r>
      <w:r w:rsidRPr="00CF1D29">
        <w:rPr>
          <w:rFonts w:cstheme="minorHAnsi"/>
          <w:sz w:val="24"/>
          <w:szCs w:val="24"/>
        </w:rPr>
        <w:t>.</w:t>
      </w:r>
      <w:proofErr w:type="gramEnd"/>
      <w:r w:rsidRPr="00CF1D29">
        <w:rPr>
          <w:rFonts w:cstheme="minorHAnsi"/>
          <w:sz w:val="24"/>
          <w:szCs w:val="24"/>
        </w:rPr>
        <w:t xml:space="preserve"> Vlada Republike Srbije pruža razne vidove finansijske i nefinansijske podrške potencijalnim i postojećim privrednim subjektima kroz programe:</w:t>
      </w:r>
    </w:p>
    <w:p w:rsidR="00DC1393" w:rsidRPr="00CF1D29" w:rsidRDefault="00DC1393" w:rsidP="00DC1393">
      <w:pPr>
        <w:pStyle w:val="NoSpacing"/>
        <w:numPr>
          <w:ilvl w:val="0"/>
          <w:numId w:val="35"/>
        </w:numPr>
        <w:ind w:left="720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Nacionalne službe za zapošljavanje (NSZ), </w:t>
      </w:r>
    </w:p>
    <w:p w:rsidR="00DC1393" w:rsidRPr="00CF1D29" w:rsidRDefault="00DC1393" w:rsidP="00DC1393">
      <w:pPr>
        <w:pStyle w:val="NoSpacing"/>
        <w:numPr>
          <w:ilvl w:val="0"/>
          <w:numId w:val="35"/>
        </w:numPr>
        <w:ind w:left="720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Fonda za razvoj Republike Srbije i </w:t>
      </w:r>
    </w:p>
    <w:p w:rsidR="00DC1393" w:rsidRPr="00CF1D29" w:rsidRDefault="00DC1393" w:rsidP="00DC1393">
      <w:pPr>
        <w:pStyle w:val="NoSpacing"/>
        <w:numPr>
          <w:ilvl w:val="0"/>
          <w:numId w:val="35"/>
        </w:numPr>
        <w:ind w:left="720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Razvojne agencije Srbije (RAS). </w:t>
      </w:r>
    </w:p>
    <w:p w:rsidR="00DC1393" w:rsidRPr="00CF1D29" w:rsidRDefault="00DC1393" w:rsidP="00DC1393">
      <w:pPr>
        <w:pStyle w:val="NoSpacing"/>
        <w:numPr>
          <w:ilvl w:val="0"/>
          <w:numId w:val="35"/>
        </w:numPr>
        <w:ind w:left="720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Privredne komore Srbije (PKS) </w:t>
      </w:r>
    </w:p>
    <w:p w:rsidR="00DC1393" w:rsidRPr="00CF1D29" w:rsidRDefault="00314933" w:rsidP="00DC1393">
      <w:pPr>
        <w:pStyle w:val="NoSpacing"/>
        <w:numPr>
          <w:ilvl w:val="0"/>
          <w:numId w:val="35"/>
        </w:num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CRJP Centar za razvoj Jablaničkog i Pčinjskog okruga </w:t>
      </w:r>
    </w:p>
    <w:p w:rsidR="00DC1393" w:rsidRPr="00CF1D29" w:rsidRDefault="00DC1393" w:rsidP="00DC1393">
      <w:pPr>
        <w:pStyle w:val="NoSpacing"/>
        <w:rPr>
          <w:rFonts w:cstheme="minorHAnsi"/>
          <w:b/>
          <w:bCs/>
          <w:sz w:val="24"/>
          <w:szCs w:val="24"/>
        </w:rPr>
      </w:pPr>
    </w:p>
    <w:p w:rsidR="00641B93" w:rsidRPr="00CF1D29" w:rsidRDefault="00641B93" w:rsidP="00DC1393">
      <w:pPr>
        <w:pStyle w:val="NoSpacing"/>
        <w:rPr>
          <w:rFonts w:cstheme="minorHAnsi"/>
          <w:b/>
          <w:bCs/>
          <w:sz w:val="24"/>
          <w:szCs w:val="24"/>
        </w:rPr>
      </w:pPr>
      <w:proofErr w:type="gramStart"/>
      <w:r w:rsidRPr="00CF1D29">
        <w:rPr>
          <w:rFonts w:cstheme="minorHAnsi"/>
          <w:b/>
          <w:bCs/>
          <w:sz w:val="24"/>
          <w:szCs w:val="24"/>
        </w:rPr>
        <w:t>Za aktuelne i konkretne podsticaje i mere podrške posetite sajtove navedenih institucija.</w:t>
      </w:r>
      <w:proofErr w:type="gramEnd"/>
    </w:p>
    <w:p w:rsidR="00641B93" w:rsidRPr="00CF1D29" w:rsidRDefault="00641B93" w:rsidP="00DC1393">
      <w:pPr>
        <w:pStyle w:val="NoSpacing"/>
        <w:rPr>
          <w:rFonts w:cstheme="minorHAnsi"/>
          <w:b/>
          <w:bCs/>
          <w:sz w:val="24"/>
          <w:szCs w:val="24"/>
        </w:rPr>
      </w:pPr>
    </w:p>
    <w:p w:rsidR="00DC1393" w:rsidRDefault="00DC1393" w:rsidP="00DC1393">
      <w:pPr>
        <w:pStyle w:val="NoSpacing"/>
        <w:rPr>
          <w:rFonts w:cstheme="minorHAnsi"/>
          <w:sz w:val="24"/>
          <w:szCs w:val="24"/>
        </w:rPr>
      </w:pPr>
      <w:bookmarkStart w:id="1" w:name="_Toc21524151"/>
      <w:bookmarkStart w:id="2" w:name="_Toc21524765"/>
      <w:bookmarkStart w:id="3" w:name="_Toc21524831"/>
      <w:bookmarkStart w:id="4" w:name="_Toc21524927"/>
      <w:bookmarkStart w:id="5" w:name="_Toc21525008"/>
      <w:bookmarkStart w:id="6" w:name="_Toc21525039"/>
      <w:bookmarkStart w:id="7" w:name="_Toc21525091"/>
      <w:bookmarkStart w:id="8" w:name="_Toc26193275"/>
      <w:bookmarkEnd w:id="1"/>
      <w:bookmarkEnd w:id="2"/>
      <w:bookmarkEnd w:id="3"/>
      <w:bookmarkEnd w:id="4"/>
      <w:bookmarkEnd w:id="5"/>
      <w:bookmarkEnd w:id="6"/>
      <w:bookmarkEnd w:id="7"/>
      <w:r w:rsidRPr="00CF1D29">
        <w:rPr>
          <w:rFonts w:cstheme="minorHAnsi"/>
          <w:sz w:val="24"/>
          <w:szCs w:val="24"/>
        </w:rPr>
        <w:t>NACIONALNA SLUŽBA ZA ZAPOŠLJAVNJE</w:t>
      </w:r>
      <w:bookmarkEnd w:id="8"/>
    </w:p>
    <w:p w:rsidR="006146DD" w:rsidRPr="00CF1D29" w:rsidRDefault="006146DD" w:rsidP="00DC1393">
      <w:pPr>
        <w:pStyle w:val="NoSpacing"/>
        <w:rPr>
          <w:rFonts w:cstheme="minorHAnsi"/>
          <w:sz w:val="24"/>
          <w:szCs w:val="24"/>
        </w:rPr>
      </w:pPr>
    </w:p>
    <w:p w:rsidR="00DC1393" w:rsidRPr="00CF1D29" w:rsidRDefault="00DC1393" w:rsidP="00DC1393">
      <w:pPr>
        <w:pStyle w:val="NoSpacing"/>
        <w:rPr>
          <w:rFonts w:cstheme="minorHAnsi"/>
          <w:sz w:val="24"/>
          <w:szCs w:val="24"/>
        </w:rPr>
      </w:pPr>
      <w:proofErr w:type="gramStart"/>
      <w:r w:rsidRPr="00CF1D29">
        <w:rPr>
          <w:rFonts w:cstheme="minorHAnsi"/>
          <w:sz w:val="24"/>
          <w:szCs w:val="24"/>
        </w:rPr>
        <w:t>Nacionalna služba za zapošljavanje – NSZ – je servis koji pruža usluge nezaposlenim licima i poslodavcima u Srbiji.</w:t>
      </w:r>
      <w:proofErr w:type="gramEnd"/>
      <w:r w:rsidRPr="00CF1D29">
        <w:rPr>
          <w:rFonts w:cstheme="minorHAnsi"/>
          <w:sz w:val="24"/>
          <w:szCs w:val="24"/>
        </w:rPr>
        <w:t xml:space="preserve"> </w:t>
      </w:r>
    </w:p>
    <w:p w:rsidR="00DC1393" w:rsidRPr="00CF1D29" w:rsidRDefault="00DC1393" w:rsidP="00DC1393">
      <w:pPr>
        <w:pStyle w:val="NoSpacing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Programi NSZ namenjeni su: </w:t>
      </w:r>
    </w:p>
    <w:p w:rsidR="00DC1393" w:rsidRPr="00CF1D29" w:rsidRDefault="00DC1393" w:rsidP="00DC1393">
      <w:pPr>
        <w:pStyle w:val="NoSpacing"/>
        <w:numPr>
          <w:ilvl w:val="0"/>
          <w:numId w:val="36"/>
        </w:numPr>
        <w:ind w:left="810" w:hanging="450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edukacijama i prekvalifikacijama nezaposlenih lica,</w:t>
      </w:r>
    </w:p>
    <w:p w:rsidR="00DC1393" w:rsidRPr="00CF1D29" w:rsidRDefault="00DC1393" w:rsidP="00DC1393">
      <w:pPr>
        <w:pStyle w:val="NoSpacing"/>
        <w:numPr>
          <w:ilvl w:val="0"/>
          <w:numId w:val="36"/>
        </w:numPr>
        <w:ind w:left="810" w:hanging="450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finansijskoj podršci samozapošljavanja i zapošljavanja lica sa evidencije NSZ-a, </w:t>
      </w:r>
    </w:p>
    <w:p w:rsidR="00DC1393" w:rsidRPr="00CF1D29" w:rsidRDefault="00DC1393" w:rsidP="00DC1393">
      <w:pPr>
        <w:pStyle w:val="NoSpacing"/>
        <w:numPr>
          <w:ilvl w:val="0"/>
          <w:numId w:val="36"/>
        </w:numPr>
        <w:ind w:left="810" w:hanging="450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angažovanju nezaposlenih lica kroz javne radove, </w:t>
      </w:r>
    </w:p>
    <w:p w:rsidR="00DC1393" w:rsidRPr="00CF1D29" w:rsidRDefault="00DC1393" w:rsidP="00DC1393">
      <w:pPr>
        <w:pStyle w:val="NoSpacing"/>
        <w:numPr>
          <w:ilvl w:val="0"/>
          <w:numId w:val="36"/>
        </w:numPr>
        <w:ind w:left="810" w:hanging="450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zapošljavanju nezaposlenih lica iz kategorije teže zapošljivih lica, </w:t>
      </w:r>
    </w:p>
    <w:p w:rsidR="00DC1393" w:rsidRPr="00DA05E2" w:rsidRDefault="00DC1393" w:rsidP="00DC1393">
      <w:pPr>
        <w:pStyle w:val="NoSpacing"/>
        <w:numPr>
          <w:ilvl w:val="0"/>
          <w:numId w:val="36"/>
        </w:numPr>
        <w:ind w:left="810" w:hanging="450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mladima kroz programe stručne prakse.</w:t>
      </w:r>
    </w:p>
    <w:p w:rsidR="00DC1393" w:rsidRPr="00DA05E2" w:rsidRDefault="00DC1393" w:rsidP="00DC1393">
      <w:pPr>
        <w:pStyle w:val="NoSpacing"/>
        <w:rPr>
          <w:rFonts w:cstheme="minorHAnsi"/>
          <w:sz w:val="24"/>
          <w:szCs w:val="24"/>
          <w:lang w:val="de-CH"/>
        </w:rPr>
      </w:pPr>
    </w:p>
    <w:p w:rsidR="00DC1393" w:rsidRDefault="00DC1393" w:rsidP="0065434F">
      <w:pPr>
        <w:pStyle w:val="NoSpacing"/>
        <w:rPr>
          <w:rFonts w:cstheme="minorHAnsi"/>
          <w:sz w:val="24"/>
          <w:szCs w:val="24"/>
          <w:lang w:val="de-CH"/>
        </w:rPr>
      </w:pPr>
      <w:bookmarkStart w:id="9" w:name="_Toc26193276"/>
      <w:r w:rsidRPr="00DA05E2">
        <w:rPr>
          <w:rFonts w:cstheme="minorHAnsi"/>
          <w:sz w:val="24"/>
          <w:szCs w:val="24"/>
          <w:lang w:val="de-CH"/>
        </w:rPr>
        <w:t>FOND ZA RAZVOJ REPUBLIKE SRBIJE</w:t>
      </w:r>
      <w:bookmarkEnd w:id="9"/>
    </w:p>
    <w:p w:rsidR="006146DD" w:rsidRPr="00DA05E2" w:rsidRDefault="006146DD" w:rsidP="0065434F">
      <w:pPr>
        <w:pStyle w:val="NoSpacing"/>
        <w:rPr>
          <w:rFonts w:cstheme="minorHAnsi"/>
          <w:sz w:val="24"/>
          <w:szCs w:val="24"/>
          <w:lang w:val="de-CH"/>
        </w:rPr>
      </w:pPr>
    </w:p>
    <w:p w:rsidR="00DC1393" w:rsidRPr="00DA05E2" w:rsidRDefault="00DC1393" w:rsidP="00DC1393">
      <w:pPr>
        <w:pStyle w:val="NoSpacing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Fond za razvoj Republike - Srbije je jedna od najstarijih finansijskih institucija u vlasništvu države. Realizacijom svojih aktivnosti Fond za razvoj podstiče privredni razvoj, ravnomerni regionalni razvoj, unapređuje konkurentnosti domaće privrede, podstiče razvoj proizvodnog zanatstva i uslužnih delatnosti, podstiče zapošljavanje i razvoj tržišta kapitala.</w:t>
      </w:r>
    </w:p>
    <w:p w:rsidR="00DC1393" w:rsidRPr="00DA05E2" w:rsidRDefault="00DC1393" w:rsidP="00DC1393">
      <w:pPr>
        <w:pStyle w:val="NoSpacing"/>
        <w:rPr>
          <w:rFonts w:cstheme="minorHAnsi"/>
          <w:sz w:val="24"/>
          <w:szCs w:val="24"/>
          <w:lang w:val="de-CH"/>
        </w:rPr>
      </w:pPr>
    </w:p>
    <w:p w:rsidR="00DC1393" w:rsidRPr="00DA05E2" w:rsidRDefault="00DC1393" w:rsidP="00DC1393">
      <w:pPr>
        <w:pStyle w:val="NoSpacing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Kroz Fond za razvoj Republike Srbije moguće je aplicirati za:</w:t>
      </w:r>
    </w:p>
    <w:p w:rsidR="00DC1393" w:rsidRPr="00CF1D29" w:rsidRDefault="00DC1393" w:rsidP="0065434F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Investicione kredite</w:t>
      </w:r>
    </w:p>
    <w:p w:rsidR="00DC1393" w:rsidRPr="00CF1D29" w:rsidRDefault="00DC1393" w:rsidP="0065434F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Kredite za trajna obrtna sredstva</w:t>
      </w:r>
    </w:p>
    <w:p w:rsidR="00DC1393" w:rsidRPr="00CF1D29" w:rsidRDefault="00DC1393" w:rsidP="0065434F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Kratkoročni krediti</w:t>
      </w:r>
    </w:p>
    <w:p w:rsidR="00DC1393" w:rsidRPr="00CF1D29" w:rsidRDefault="00DC1393" w:rsidP="0065434F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Kredite za održavanje tekuće likvidnosti</w:t>
      </w:r>
    </w:p>
    <w:p w:rsidR="00DC1393" w:rsidRPr="00CF1D29" w:rsidRDefault="00DC1393" w:rsidP="0065434F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Start-up krediti</w:t>
      </w:r>
    </w:p>
    <w:p w:rsidR="00DC1393" w:rsidRPr="00CF1D29" w:rsidRDefault="00DC1393" w:rsidP="0065434F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Podsticanje preduzetništva kroz razvojne projekte</w:t>
      </w:r>
    </w:p>
    <w:p w:rsidR="00DC1393" w:rsidRPr="00CF1D29" w:rsidRDefault="00DC1393" w:rsidP="0065434F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Krediti za poslovanje u nerazvijenim područjima</w:t>
      </w:r>
    </w:p>
    <w:p w:rsidR="00DC1393" w:rsidRPr="00CF1D29" w:rsidRDefault="00DC1393" w:rsidP="0065434F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Garancije</w:t>
      </w:r>
    </w:p>
    <w:p w:rsidR="00DC1393" w:rsidRDefault="00DC1393" w:rsidP="0065434F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Krediti za refinansiranje</w:t>
      </w:r>
    </w:p>
    <w:p w:rsidR="006146DD" w:rsidRDefault="006146DD" w:rsidP="006146DD">
      <w:pPr>
        <w:pStyle w:val="NoSpacing"/>
        <w:ind w:left="1440"/>
        <w:rPr>
          <w:rFonts w:cstheme="minorHAnsi"/>
          <w:sz w:val="24"/>
          <w:szCs w:val="24"/>
        </w:rPr>
      </w:pPr>
    </w:p>
    <w:p w:rsidR="006146DD" w:rsidRDefault="006146DD" w:rsidP="006146DD">
      <w:pPr>
        <w:pStyle w:val="NoSpacing"/>
        <w:ind w:left="1440"/>
        <w:rPr>
          <w:rFonts w:cstheme="minorHAnsi"/>
          <w:sz w:val="24"/>
          <w:szCs w:val="24"/>
        </w:rPr>
      </w:pPr>
    </w:p>
    <w:p w:rsidR="006146DD" w:rsidRPr="00CF1D29" w:rsidRDefault="006146DD" w:rsidP="006146DD">
      <w:pPr>
        <w:pStyle w:val="NoSpacing"/>
        <w:ind w:left="1440"/>
        <w:rPr>
          <w:rFonts w:cstheme="minorHAnsi"/>
          <w:sz w:val="24"/>
          <w:szCs w:val="24"/>
        </w:rPr>
      </w:pPr>
    </w:p>
    <w:p w:rsidR="00DC1393" w:rsidRPr="00CF1D29" w:rsidRDefault="00DC1393" w:rsidP="00DC1393">
      <w:pPr>
        <w:pStyle w:val="NoSpacing"/>
        <w:rPr>
          <w:rFonts w:cstheme="minorHAnsi"/>
          <w:sz w:val="24"/>
          <w:szCs w:val="24"/>
        </w:rPr>
      </w:pPr>
    </w:p>
    <w:p w:rsidR="00DC1393" w:rsidRDefault="00DC1393" w:rsidP="0065434F">
      <w:pPr>
        <w:pStyle w:val="NoSpacing"/>
        <w:rPr>
          <w:rFonts w:cstheme="minorHAnsi"/>
          <w:sz w:val="24"/>
          <w:szCs w:val="24"/>
        </w:rPr>
      </w:pPr>
      <w:bookmarkStart w:id="10" w:name="_Toc26193277"/>
      <w:bookmarkStart w:id="11" w:name="_Toc21524768"/>
      <w:r w:rsidRPr="00CF1D29">
        <w:rPr>
          <w:rFonts w:cstheme="minorHAnsi"/>
          <w:sz w:val="24"/>
          <w:szCs w:val="24"/>
        </w:rPr>
        <w:lastRenderedPageBreak/>
        <w:t>RAZVOJNA AGENCIJA SRBIJE</w:t>
      </w:r>
      <w:bookmarkStart w:id="12" w:name="_Toc21524769"/>
      <w:bookmarkStart w:id="13" w:name="_Toc21525095"/>
      <w:bookmarkEnd w:id="10"/>
      <w:bookmarkEnd w:id="11"/>
      <w:bookmarkEnd w:id="12"/>
      <w:bookmarkEnd w:id="13"/>
    </w:p>
    <w:p w:rsidR="006146DD" w:rsidRPr="00CF1D29" w:rsidRDefault="006146DD" w:rsidP="0065434F">
      <w:pPr>
        <w:pStyle w:val="NoSpacing"/>
        <w:rPr>
          <w:rFonts w:cstheme="minorHAnsi"/>
          <w:b/>
          <w:bCs/>
          <w:sz w:val="24"/>
          <w:szCs w:val="24"/>
        </w:rPr>
      </w:pPr>
    </w:p>
    <w:p w:rsidR="00DC1393" w:rsidRPr="00CF1D29" w:rsidRDefault="00DC1393" w:rsidP="00DC1393">
      <w:pPr>
        <w:pStyle w:val="NoSpacing"/>
        <w:rPr>
          <w:rFonts w:cstheme="minorHAnsi"/>
          <w:sz w:val="24"/>
          <w:szCs w:val="24"/>
        </w:rPr>
      </w:pPr>
      <w:proofErr w:type="gramStart"/>
      <w:r w:rsidRPr="00CF1D29">
        <w:rPr>
          <w:rFonts w:cstheme="minorHAnsi"/>
          <w:sz w:val="24"/>
          <w:szCs w:val="24"/>
        </w:rPr>
        <w:t>Razvojna agencija Srbije je agencija Vlade Republike Srbije osnovana za obavljanje razvojnih, stručnih i operativnih poslova podsticanja i realizacije direktnih ulaganja, promocije i povećanja izvoza, razvoja i unapređenja konkurentnosti privrednih subjekata, ugleda i razvoja Republike Srbije u oblasti privrede i regionalnog razvoja.</w:t>
      </w:r>
      <w:proofErr w:type="gramEnd"/>
    </w:p>
    <w:p w:rsidR="0065434F" w:rsidRPr="00CF1D29" w:rsidRDefault="0065434F" w:rsidP="0065434F">
      <w:pPr>
        <w:pStyle w:val="NoSpacing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RAS nudi širok spektar usluga, uključujući podršku direktnim investicijama, podsticaj </w:t>
      </w:r>
      <w:proofErr w:type="gramStart"/>
      <w:r w:rsidRPr="00CF1D29">
        <w:rPr>
          <w:rFonts w:cstheme="minorHAnsi"/>
          <w:sz w:val="24"/>
          <w:szCs w:val="24"/>
        </w:rPr>
        <w:t>konkurentnosti  i</w:t>
      </w:r>
      <w:proofErr w:type="gramEnd"/>
      <w:r w:rsidRPr="00CF1D29">
        <w:rPr>
          <w:rFonts w:cstheme="minorHAnsi"/>
          <w:sz w:val="24"/>
          <w:szCs w:val="24"/>
        </w:rPr>
        <w:t xml:space="preserve"> promociju izvoza, kao i sprovođenje projekata koji imaju za cilj da poboljšaju reputaciju i ugled Srbije i pozitivno utiču na ekonomski i regionalni razvoj.</w:t>
      </w:r>
    </w:p>
    <w:p w:rsidR="0065434F" w:rsidRPr="00CF1D29" w:rsidRDefault="0065434F" w:rsidP="0065434F">
      <w:pPr>
        <w:pStyle w:val="NoSpacing"/>
        <w:rPr>
          <w:rFonts w:cstheme="minorHAnsi"/>
          <w:sz w:val="24"/>
          <w:szCs w:val="24"/>
        </w:rPr>
      </w:pPr>
      <w:proofErr w:type="gramStart"/>
      <w:r w:rsidRPr="00CF1D29">
        <w:rPr>
          <w:rFonts w:cstheme="minorHAnsi"/>
          <w:sz w:val="24"/>
          <w:szCs w:val="24"/>
        </w:rPr>
        <w:t>RAS je zadužen za dodelu sredstava podsticaja za privlačenje direktnih investicija.</w:t>
      </w:r>
      <w:proofErr w:type="gramEnd"/>
      <w:r w:rsidRPr="00CF1D29">
        <w:rPr>
          <w:rFonts w:cstheme="minorHAnsi"/>
          <w:sz w:val="24"/>
          <w:szCs w:val="24"/>
        </w:rPr>
        <w:t xml:space="preserve"> </w:t>
      </w:r>
      <w:proofErr w:type="gramStart"/>
      <w:r w:rsidRPr="00CF1D29">
        <w:rPr>
          <w:rFonts w:cstheme="minorHAnsi"/>
          <w:sz w:val="24"/>
          <w:szCs w:val="24"/>
        </w:rPr>
        <w:t>Za ova bespovratna sredstva ravnopravno mogu da konkurišu kako domaći tako i strani investitori.</w:t>
      </w:r>
      <w:proofErr w:type="gramEnd"/>
    </w:p>
    <w:p w:rsidR="0065434F" w:rsidRPr="00CF1D29" w:rsidRDefault="0065434F" w:rsidP="0065434F">
      <w:pPr>
        <w:pStyle w:val="NoSpacing"/>
        <w:rPr>
          <w:rFonts w:cstheme="minorHAnsi"/>
          <w:sz w:val="24"/>
          <w:szCs w:val="24"/>
        </w:rPr>
      </w:pPr>
    </w:p>
    <w:p w:rsidR="0065434F" w:rsidRPr="00CF1D29" w:rsidRDefault="0065434F" w:rsidP="0065434F">
      <w:pPr>
        <w:pStyle w:val="NoSpacing"/>
        <w:rPr>
          <w:rFonts w:cstheme="minorHAnsi"/>
          <w:sz w:val="24"/>
          <w:szCs w:val="24"/>
        </w:rPr>
      </w:pPr>
    </w:p>
    <w:p w:rsidR="00DC1393" w:rsidRDefault="00DC1393" w:rsidP="0065434F">
      <w:pPr>
        <w:pStyle w:val="NoSpacing"/>
        <w:rPr>
          <w:rFonts w:cstheme="minorHAnsi"/>
          <w:sz w:val="24"/>
          <w:szCs w:val="24"/>
        </w:rPr>
      </w:pPr>
      <w:bookmarkStart w:id="14" w:name="_Toc21524156"/>
      <w:bookmarkStart w:id="15" w:name="_Toc21524770"/>
      <w:bookmarkStart w:id="16" w:name="_Toc21524836"/>
      <w:bookmarkStart w:id="17" w:name="_Toc21524932"/>
      <w:bookmarkStart w:id="18" w:name="_Toc21525013"/>
      <w:bookmarkStart w:id="19" w:name="_Toc21525044"/>
      <w:bookmarkStart w:id="20" w:name="_Toc21525096"/>
      <w:bookmarkStart w:id="21" w:name="_Toc21524157"/>
      <w:bookmarkStart w:id="22" w:name="_Toc21524771"/>
      <w:bookmarkStart w:id="23" w:name="_Toc21524837"/>
      <w:bookmarkStart w:id="24" w:name="_Toc21524933"/>
      <w:bookmarkStart w:id="25" w:name="_Toc21525014"/>
      <w:bookmarkStart w:id="26" w:name="_Toc21525045"/>
      <w:bookmarkStart w:id="27" w:name="_Toc21525097"/>
      <w:bookmarkStart w:id="28" w:name="_Toc26193278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CF1D29">
        <w:rPr>
          <w:rFonts w:cstheme="minorHAnsi"/>
          <w:sz w:val="24"/>
          <w:szCs w:val="24"/>
        </w:rPr>
        <w:t>PRIVREDNA KOMORA SRBIJE</w:t>
      </w:r>
      <w:bookmarkEnd w:id="28"/>
    </w:p>
    <w:p w:rsidR="006146DD" w:rsidRPr="00CF1D29" w:rsidRDefault="006146DD" w:rsidP="0065434F">
      <w:pPr>
        <w:pStyle w:val="NoSpacing"/>
        <w:rPr>
          <w:rFonts w:cstheme="minorHAnsi"/>
          <w:sz w:val="24"/>
          <w:szCs w:val="24"/>
        </w:rPr>
      </w:pPr>
    </w:p>
    <w:p w:rsidR="00DC1393" w:rsidRPr="00CF1D29" w:rsidRDefault="00DC1393" w:rsidP="0057471B">
      <w:pPr>
        <w:pStyle w:val="NoSpacing"/>
        <w:rPr>
          <w:rFonts w:cstheme="minorHAnsi"/>
          <w:sz w:val="24"/>
          <w:szCs w:val="24"/>
        </w:rPr>
      </w:pPr>
      <w:proofErr w:type="gramStart"/>
      <w:r w:rsidRPr="00CF1D29">
        <w:rPr>
          <w:rFonts w:cstheme="minorHAnsi"/>
          <w:sz w:val="24"/>
          <w:szCs w:val="24"/>
        </w:rPr>
        <w:t>Privredna komora Srbije (PKS) je zakonom definisana organizacija privrednih subjekata.</w:t>
      </w:r>
      <w:proofErr w:type="gramEnd"/>
      <w:r w:rsidRPr="00CF1D29">
        <w:rPr>
          <w:rFonts w:cstheme="minorHAnsi"/>
          <w:sz w:val="24"/>
          <w:szCs w:val="24"/>
        </w:rPr>
        <w:t xml:space="preserve"> </w:t>
      </w:r>
      <w:proofErr w:type="gramStart"/>
      <w:r w:rsidRPr="00CF1D29">
        <w:rPr>
          <w:rFonts w:cstheme="minorHAnsi"/>
          <w:sz w:val="24"/>
          <w:szCs w:val="24"/>
        </w:rPr>
        <w:t>Članovi PKS su privredna društva, grupisana u sektore poljoprivrede, industrije i usluga, koji se uže grupišu u 19 granskih udruženja.</w:t>
      </w:r>
      <w:proofErr w:type="gramEnd"/>
      <w:r w:rsidRPr="00CF1D29">
        <w:rPr>
          <w:rFonts w:cstheme="minorHAnsi"/>
          <w:sz w:val="24"/>
          <w:szCs w:val="24"/>
        </w:rPr>
        <w:t xml:space="preserve"> </w:t>
      </w:r>
      <w:r w:rsidR="0057471B" w:rsidRPr="00CF1D29">
        <w:rPr>
          <w:rFonts w:cstheme="minorHAnsi"/>
          <w:sz w:val="24"/>
          <w:szCs w:val="24"/>
        </w:rPr>
        <w:t xml:space="preserve">PKS zastupa interese i stavove članova učešćem u kreiranju zakona i drugih propisa važnih za poslovnu zajednicu; unapređuje ekonomsku saradnju </w:t>
      </w:r>
      <w:proofErr w:type="gramStart"/>
      <w:r w:rsidR="0057471B" w:rsidRPr="00CF1D29">
        <w:rPr>
          <w:rFonts w:cstheme="minorHAnsi"/>
          <w:sz w:val="24"/>
          <w:szCs w:val="24"/>
        </w:rPr>
        <w:t>sa</w:t>
      </w:r>
      <w:proofErr w:type="gramEnd"/>
      <w:r w:rsidR="0057471B" w:rsidRPr="00CF1D29">
        <w:rPr>
          <w:rFonts w:cstheme="minorHAnsi"/>
          <w:sz w:val="24"/>
          <w:szCs w:val="24"/>
        </w:rPr>
        <w:t xml:space="preserve"> inostranstvom; pruža informativno-analitičku podršku privredi; podstiče izvoznu aktivnost i uključivanje domaćih kompanija u međunarodne dobavljačke lance.</w:t>
      </w:r>
    </w:p>
    <w:p w:rsidR="00DC1393" w:rsidRPr="00DA05E2" w:rsidRDefault="00DC1393" w:rsidP="00DC1393">
      <w:pPr>
        <w:pStyle w:val="NoSpacing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Svi članovi PKS imaju prava i obaveze definisane zakonom i internim aktima. PKS je samostalna i nezavisna u svojim aktivnostima, a u radu njenih organa uprave i tela učestvuju privrednici.</w:t>
      </w:r>
    </w:p>
    <w:p w:rsidR="00DC1393" w:rsidRPr="00DA05E2" w:rsidRDefault="00DC1393" w:rsidP="00DC1393">
      <w:pPr>
        <w:pStyle w:val="NoSpacing"/>
        <w:rPr>
          <w:rFonts w:cstheme="minorHAnsi"/>
          <w:sz w:val="24"/>
          <w:szCs w:val="24"/>
          <w:lang w:val="de-CH"/>
        </w:rPr>
      </w:pPr>
    </w:p>
    <w:p w:rsidR="00DC1393" w:rsidRPr="00DA05E2" w:rsidRDefault="00DC1393" w:rsidP="00E30BD7">
      <w:pPr>
        <w:pStyle w:val="NoSpacing"/>
        <w:rPr>
          <w:rFonts w:cstheme="minorHAnsi"/>
          <w:sz w:val="24"/>
          <w:szCs w:val="24"/>
          <w:lang w:val="de-CH"/>
        </w:rPr>
      </w:pPr>
    </w:p>
    <w:p w:rsidR="00DC1393" w:rsidRPr="00DA05E2" w:rsidRDefault="00DC1393" w:rsidP="00E30BD7">
      <w:pPr>
        <w:pStyle w:val="NoSpacing"/>
        <w:rPr>
          <w:rFonts w:cstheme="minorHAnsi"/>
          <w:sz w:val="24"/>
          <w:szCs w:val="24"/>
          <w:lang w:val="de-CH"/>
        </w:rPr>
      </w:pPr>
    </w:p>
    <w:p w:rsidR="00641B93" w:rsidRPr="00CF1D29" w:rsidRDefault="00641B93" w:rsidP="008D69C0">
      <w:pPr>
        <w:pStyle w:val="NoSpacing"/>
        <w:pageBreakBefore/>
        <w:numPr>
          <w:ilvl w:val="0"/>
          <w:numId w:val="38"/>
        </w:numPr>
        <w:rPr>
          <w:rFonts w:cstheme="minorHAnsi"/>
          <w:b/>
          <w:bCs/>
          <w:sz w:val="24"/>
          <w:szCs w:val="24"/>
        </w:rPr>
      </w:pPr>
      <w:r w:rsidRPr="00CF1D29">
        <w:rPr>
          <w:rFonts w:cstheme="minorHAnsi"/>
          <w:b/>
          <w:bCs/>
          <w:sz w:val="24"/>
          <w:szCs w:val="24"/>
        </w:rPr>
        <w:lastRenderedPageBreak/>
        <w:t>Podrška poslovanju na opštinskom nivou</w:t>
      </w:r>
    </w:p>
    <w:p w:rsidR="008D69C0" w:rsidRPr="00CF1D29" w:rsidRDefault="008D69C0" w:rsidP="00641B93">
      <w:pPr>
        <w:pStyle w:val="NoSpacing"/>
        <w:rPr>
          <w:rFonts w:cstheme="minorHAnsi"/>
          <w:sz w:val="24"/>
          <w:szCs w:val="24"/>
        </w:rPr>
      </w:pPr>
    </w:p>
    <w:p w:rsidR="00641B93" w:rsidRDefault="00641B93" w:rsidP="00641B93">
      <w:pPr>
        <w:pStyle w:val="NoSpacing"/>
        <w:rPr>
          <w:rFonts w:cstheme="minorHAnsi"/>
          <w:i/>
          <w:iCs/>
          <w:color w:val="4472C4" w:themeColor="accent1"/>
          <w:sz w:val="24"/>
          <w:szCs w:val="24"/>
        </w:rPr>
      </w:pPr>
      <w:r w:rsidRPr="00CF1D29">
        <w:rPr>
          <w:rFonts w:cstheme="minorHAnsi"/>
          <w:i/>
          <w:iCs/>
          <w:color w:val="4472C4" w:themeColor="accent1"/>
          <w:sz w:val="24"/>
          <w:szCs w:val="24"/>
        </w:rPr>
        <w:t xml:space="preserve"> </w:t>
      </w:r>
    </w:p>
    <w:p w:rsidR="009A2F97" w:rsidRPr="00CF1D29" w:rsidRDefault="009A2F97" w:rsidP="00641B93">
      <w:pPr>
        <w:pStyle w:val="NoSpacing"/>
        <w:rPr>
          <w:rFonts w:cstheme="minorHAnsi"/>
          <w:i/>
          <w:iCs/>
          <w:color w:val="4472C4" w:themeColor="accent1"/>
          <w:sz w:val="24"/>
          <w:szCs w:val="24"/>
        </w:rPr>
      </w:pPr>
    </w:p>
    <w:p w:rsidR="00AC557A" w:rsidRPr="006146DD" w:rsidRDefault="00231532" w:rsidP="009A2F97">
      <w:pPr>
        <w:spacing w:after="0" w:line="240" w:lineRule="auto"/>
        <w:jc w:val="both"/>
        <w:rPr>
          <w:sz w:val="24"/>
          <w:szCs w:val="24"/>
        </w:rPr>
      </w:pPr>
      <w:r>
        <w:rPr>
          <w:color w:val="7030A0"/>
        </w:rPr>
        <w:t xml:space="preserve">               </w:t>
      </w:r>
      <w:r w:rsidR="009A2F97" w:rsidRPr="006146DD">
        <w:rPr>
          <w:sz w:val="24"/>
          <w:szCs w:val="24"/>
        </w:rPr>
        <w:t xml:space="preserve">Grad Vranje je određenim odlukama Skupštine grada predvideo oslobađanja za investitore koji otvaraju nova radna </w:t>
      </w:r>
      <w:proofErr w:type="gramStart"/>
      <w:r w:rsidR="009A2F97" w:rsidRPr="006146DD">
        <w:rPr>
          <w:sz w:val="24"/>
          <w:szCs w:val="24"/>
        </w:rPr>
        <w:t>mesta</w:t>
      </w:r>
      <w:proofErr w:type="gramEnd"/>
      <w:r w:rsidR="009A2F97" w:rsidRPr="006146DD">
        <w:rPr>
          <w:sz w:val="24"/>
          <w:szCs w:val="24"/>
        </w:rPr>
        <w:t xml:space="preserve"> (primer</w:t>
      </w:r>
      <w:r w:rsidR="00AC557A" w:rsidRPr="006146DD">
        <w:rPr>
          <w:sz w:val="24"/>
          <w:szCs w:val="24"/>
        </w:rPr>
        <w:t>:</w:t>
      </w:r>
    </w:p>
    <w:p w:rsidR="009A2F97" w:rsidRPr="006146DD" w:rsidRDefault="009A2F97" w:rsidP="00B126BC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6146DD">
        <w:rPr>
          <w:sz w:val="24"/>
          <w:szCs w:val="24"/>
        </w:rPr>
        <w:t xml:space="preserve"> </w:t>
      </w:r>
      <w:r w:rsidR="00AC557A" w:rsidRPr="006146DD">
        <w:rPr>
          <w:sz w:val="24"/>
          <w:szCs w:val="24"/>
        </w:rPr>
        <w:t>Odluka o lokalnim komunalnim taksama</w:t>
      </w:r>
      <w:r w:rsidR="00B126BC" w:rsidRPr="006146DD">
        <w:rPr>
          <w:sz w:val="24"/>
          <w:szCs w:val="24"/>
        </w:rPr>
        <w:t xml:space="preserve"> </w:t>
      </w:r>
      <w:r w:rsidR="00AC557A" w:rsidRPr="006146DD">
        <w:rPr>
          <w:sz w:val="24"/>
          <w:szCs w:val="24"/>
        </w:rPr>
        <w:t>- Investitori, domaći i strani, koji zaposle 20 i više radnika ne plaćaju komunalnu taksu iz ovog tarifnog broja u periodu od 3 godine za novoistaknutu firmu, pod uslovom da ukupan broj radnika, sa prebivalištem na teritoriji grada Vranja, svakog meseca u tom periodu, ne bude manji od broja koji se dobija kada se broj postojećih radnika u trenutku investicije sabere sa brojem novozaposlenih</w:t>
      </w:r>
      <w:r w:rsidRPr="006146DD">
        <w:rPr>
          <w:sz w:val="24"/>
          <w:szCs w:val="24"/>
        </w:rPr>
        <w:t xml:space="preserve">. </w:t>
      </w:r>
    </w:p>
    <w:p w:rsidR="00AC557A" w:rsidRPr="006146DD" w:rsidRDefault="00B126BC" w:rsidP="00B126BC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6146DD">
        <w:rPr>
          <w:sz w:val="24"/>
          <w:szCs w:val="24"/>
        </w:rPr>
        <w:t xml:space="preserve">Odluka o utvrđivanju doprinosa za uređivanje građevinskog zemljišta i zakupnine za zakup građevinskog zemljišta u javnoj svojini - U cilju realizacije projekta </w:t>
      </w:r>
      <w:proofErr w:type="gramStart"/>
      <w:r w:rsidRPr="006146DD">
        <w:rPr>
          <w:sz w:val="24"/>
          <w:szCs w:val="24"/>
        </w:rPr>
        <w:t>od</w:t>
      </w:r>
      <w:proofErr w:type="gramEnd"/>
      <w:r w:rsidRPr="006146DD">
        <w:rPr>
          <w:sz w:val="24"/>
          <w:szCs w:val="24"/>
        </w:rPr>
        <w:t xml:space="preserve"> značaja za lokalni ekonomski razvoj, doprinos za uređivanje građevinskog zemljišta se može umanjiti i u većem procentu od kriterijuma iz čl. 18. </w:t>
      </w:r>
      <w:proofErr w:type="gramStart"/>
      <w:r w:rsidRPr="006146DD">
        <w:rPr>
          <w:sz w:val="24"/>
          <w:szCs w:val="24"/>
        </w:rPr>
        <w:t>ove</w:t>
      </w:r>
      <w:proofErr w:type="gramEnd"/>
      <w:r w:rsidRPr="006146DD">
        <w:rPr>
          <w:sz w:val="24"/>
          <w:szCs w:val="24"/>
        </w:rPr>
        <w:t xml:space="preserve"> odluke, do potpunog oslobađanja u procentu od 100%, o čemu konačnu odluku donosi Gradsko veće Grada Vranja, u skladu sa važećim zakonima i drugim propisima.</w:t>
      </w:r>
    </w:p>
    <w:p w:rsidR="00B126BC" w:rsidRPr="006146DD" w:rsidRDefault="00B126BC" w:rsidP="00B126BC">
      <w:pPr>
        <w:spacing w:after="0" w:line="240" w:lineRule="auto"/>
        <w:jc w:val="both"/>
        <w:rPr>
          <w:sz w:val="24"/>
          <w:szCs w:val="24"/>
        </w:rPr>
      </w:pPr>
    </w:p>
    <w:p w:rsidR="00B126BC" w:rsidRPr="006146DD" w:rsidRDefault="00B126BC" w:rsidP="00B126BC">
      <w:pPr>
        <w:spacing w:after="0" w:line="240" w:lineRule="auto"/>
        <w:jc w:val="both"/>
        <w:rPr>
          <w:sz w:val="24"/>
          <w:szCs w:val="24"/>
        </w:rPr>
      </w:pPr>
      <w:r w:rsidRPr="006146DD">
        <w:rPr>
          <w:sz w:val="24"/>
          <w:szCs w:val="24"/>
        </w:rPr>
        <w:t xml:space="preserve">              Poseban segment podrške zapošljavanju, odnosno otvaranju novih radnih </w:t>
      </w:r>
      <w:proofErr w:type="gramStart"/>
      <w:r w:rsidRPr="006146DD">
        <w:rPr>
          <w:sz w:val="24"/>
          <w:szCs w:val="24"/>
        </w:rPr>
        <w:t>mesta</w:t>
      </w:r>
      <w:proofErr w:type="gramEnd"/>
      <w:r w:rsidRPr="006146DD">
        <w:rPr>
          <w:sz w:val="24"/>
          <w:szCs w:val="24"/>
        </w:rPr>
        <w:t xml:space="preserve"> predstavlja planiranje i sprovođenje mera aktivne politike zapošljavanja u skladu sa Lokalnim akcionim planovima zapošljavanja. Saobrazno potrebama tržišta rada realizuju se mere aktivne politike zapošljavanja usmerene </w:t>
      </w:r>
      <w:proofErr w:type="gramStart"/>
      <w:r w:rsidRPr="006146DD">
        <w:rPr>
          <w:sz w:val="24"/>
          <w:szCs w:val="24"/>
        </w:rPr>
        <w:t>na</w:t>
      </w:r>
      <w:proofErr w:type="gramEnd"/>
      <w:r w:rsidRPr="006146DD">
        <w:rPr>
          <w:sz w:val="24"/>
          <w:szCs w:val="24"/>
        </w:rPr>
        <w:t xml:space="preserve"> različite kategorije nezaposlenih lica:</w:t>
      </w:r>
    </w:p>
    <w:p w:rsidR="00B126BC" w:rsidRPr="006146DD" w:rsidRDefault="00B126BC" w:rsidP="00B126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146DD">
        <w:rPr>
          <w:sz w:val="24"/>
          <w:szCs w:val="24"/>
        </w:rPr>
        <w:t>stručna praksa</w:t>
      </w:r>
    </w:p>
    <w:p w:rsidR="00B126BC" w:rsidRPr="006146DD" w:rsidRDefault="00B126BC" w:rsidP="00B126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146DD">
        <w:rPr>
          <w:sz w:val="24"/>
          <w:szCs w:val="24"/>
        </w:rPr>
        <w:t xml:space="preserve"> javni radovi</w:t>
      </w:r>
    </w:p>
    <w:p w:rsidR="00B126BC" w:rsidRPr="006146DD" w:rsidRDefault="00B126BC" w:rsidP="00B126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146DD">
        <w:rPr>
          <w:sz w:val="24"/>
          <w:szCs w:val="24"/>
        </w:rPr>
        <w:t xml:space="preserve"> subvencije za samozapošljavanje</w:t>
      </w:r>
    </w:p>
    <w:p w:rsidR="00B126BC" w:rsidRPr="006146DD" w:rsidRDefault="00B126BC" w:rsidP="00B126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146DD">
        <w:rPr>
          <w:sz w:val="24"/>
          <w:szCs w:val="24"/>
        </w:rPr>
        <w:t xml:space="preserve"> subvencije za zapošljavanje nezaposlenih lica iz kategorije teže zapošljivih</w:t>
      </w:r>
    </w:p>
    <w:p w:rsidR="00B126BC" w:rsidRPr="006146DD" w:rsidRDefault="00B126BC" w:rsidP="00B126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146DD">
        <w:rPr>
          <w:sz w:val="24"/>
          <w:szCs w:val="24"/>
        </w:rPr>
        <w:t xml:space="preserve"> </w:t>
      </w:r>
      <w:proofErr w:type="gramStart"/>
      <w:r w:rsidRPr="006146DD">
        <w:rPr>
          <w:sz w:val="24"/>
          <w:szCs w:val="24"/>
        </w:rPr>
        <w:t>program</w:t>
      </w:r>
      <w:proofErr w:type="gramEnd"/>
      <w:r w:rsidRPr="006146DD">
        <w:rPr>
          <w:sz w:val="24"/>
          <w:szCs w:val="24"/>
        </w:rPr>
        <w:t xml:space="preserve"> obuka na zahtev poslodavca itd.</w:t>
      </w:r>
    </w:p>
    <w:p w:rsidR="00B126BC" w:rsidRPr="006146DD" w:rsidRDefault="00B126BC" w:rsidP="00E30BD7">
      <w:pPr>
        <w:pStyle w:val="NoSpacing"/>
        <w:rPr>
          <w:rFonts w:cstheme="minorHAnsi"/>
          <w:sz w:val="24"/>
          <w:szCs w:val="24"/>
        </w:rPr>
      </w:pPr>
    </w:p>
    <w:p w:rsidR="00E30BD7" w:rsidRDefault="00B126BC" w:rsidP="00B126BC">
      <w:pPr>
        <w:ind w:firstLine="708"/>
        <w:rPr>
          <w:color w:val="7030A0"/>
        </w:rPr>
      </w:pPr>
      <w:proofErr w:type="gramStart"/>
      <w:r w:rsidRPr="006146DD">
        <w:rPr>
          <w:sz w:val="24"/>
          <w:szCs w:val="24"/>
        </w:rPr>
        <w:t>Poseban spektar pogodnosti se pruža investitorima koji odluče da posluju u režimu Slobodne</w:t>
      </w:r>
      <w:r w:rsidRPr="00B126BC">
        <w:rPr>
          <w:color w:val="7030A0"/>
        </w:rPr>
        <w:t xml:space="preserve"> </w:t>
      </w:r>
      <w:r w:rsidRPr="006146DD">
        <w:rPr>
          <w:sz w:val="24"/>
          <w:szCs w:val="24"/>
        </w:rPr>
        <w:t>zone.</w:t>
      </w:r>
      <w:proofErr w:type="gramEnd"/>
      <w:r w:rsidRPr="00B126BC">
        <w:t xml:space="preserve"> </w:t>
      </w:r>
      <w:hyperlink r:id="rId19" w:history="1">
        <w:r w:rsidRPr="00233C51">
          <w:rPr>
            <w:rStyle w:val="Hyperlink"/>
          </w:rPr>
          <w:t>http://www.freezonevranje.com/tekst/pogodnosti/18/Lokacijske-pogodnosti/</w:t>
        </w:r>
      </w:hyperlink>
      <w:r>
        <w:rPr>
          <w:color w:val="7030A0"/>
        </w:rPr>
        <w:t xml:space="preserve"> </w:t>
      </w:r>
    </w:p>
    <w:p w:rsidR="00B126BC" w:rsidRPr="006146DD" w:rsidRDefault="00B126BC" w:rsidP="00B126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146DD">
        <w:rPr>
          <w:sz w:val="24"/>
          <w:szCs w:val="24"/>
        </w:rPr>
        <w:t>Lokacijske pogodnosti</w:t>
      </w:r>
    </w:p>
    <w:p w:rsidR="00B126BC" w:rsidRPr="006146DD" w:rsidRDefault="00B126BC" w:rsidP="00B126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146DD">
        <w:rPr>
          <w:sz w:val="24"/>
          <w:szCs w:val="24"/>
        </w:rPr>
        <w:t>Sporazumi o slobodnoj trgovini</w:t>
      </w:r>
    </w:p>
    <w:p w:rsidR="00B126BC" w:rsidRPr="006146DD" w:rsidRDefault="00B126BC" w:rsidP="00B126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146DD">
        <w:rPr>
          <w:sz w:val="24"/>
          <w:szCs w:val="24"/>
        </w:rPr>
        <w:t>Fiskalne pogodnosti</w:t>
      </w:r>
      <w:r w:rsidR="00085D83" w:rsidRPr="006146DD">
        <w:rPr>
          <w:sz w:val="24"/>
          <w:szCs w:val="24"/>
        </w:rPr>
        <w:t xml:space="preserve"> </w:t>
      </w:r>
      <w:r w:rsidR="00231532" w:rsidRPr="006146DD">
        <w:rPr>
          <w:sz w:val="24"/>
          <w:szCs w:val="24"/>
        </w:rPr>
        <w:t xml:space="preserve">    </w:t>
      </w:r>
      <w:r w:rsidR="00085D83" w:rsidRPr="006146DD">
        <w:rPr>
          <w:sz w:val="24"/>
          <w:szCs w:val="24"/>
        </w:rPr>
        <w:t>(primer – oslobađanja plaćanja PDV-a)</w:t>
      </w:r>
    </w:p>
    <w:p w:rsidR="00231532" w:rsidRPr="006146DD" w:rsidRDefault="00085D83" w:rsidP="0023153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146DD">
        <w:rPr>
          <w:sz w:val="24"/>
          <w:szCs w:val="24"/>
        </w:rPr>
        <w:t xml:space="preserve">Carinske pogodnosti  </w:t>
      </w:r>
      <w:r w:rsidR="00231532" w:rsidRPr="006146DD">
        <w:rPr>
          <w:sz w:val="24"/>
          <w:szCs w:val="24"/>
        </w:rPr>
        <w:t xml:space="preserve">  </w:t>
      </w:r>
      <w:r w:rsidRPr="006146DD">
        <w:rPr>
          <w:sz w:val="24"/>
          <w:szCs w:val="24"/>
        </w:rPr>
        <w:t xml:space="preserve">(primer – izvoz I uvoz roba I usluga u zonu slobodni I na njih se ne plaća carina, oslobođenja plaćanja carine I </w:t>
      </w:r>
      <w:r w:rsidR="00231532" w:rsidRPr="006146DD">
        <w:rPr>
          <w:sz w:val="24"/>
          <w:szCs w:val="24"/>
        </w:rPr>
        <w:t>drugih uvoznih</w:t>
      </w:r>
      <w:r w:rsidRPr="006146DD">
        <w:rPr>
          <w:sz w:val="24"/>
          <w:szCs w:val="24"/>
        </w:rPr>
        <w:t xml:space="preserve"> dažbina</w:t>
      </w:r>
    </w:p>
    <w:p w:rsidR="00085D83" w:rsidRPr="006146DD" w:rsidRDefault="00231532" w:rsidP="006146DD">
      <w:pPr>
        <w:pStyle w:val="ListParagraph"/>
        <w:ind w:left="1070"/>
        <w:rPr>
          <w:sz w:val="24"/>
          <w:szCs w:val="24"/>
        </w:rPr>
      </w:pPr>
      <w:r w:rsidRPr="006146DD">
        <w:rPr>
          <w:sz w:val="24"/>
          <w:szCs w:val="24"/>
        </w:rPr>
        <w:t xml:space="preserve"> </w:t>
      </w:r>
      <w:proofErr w:type="gramStart"/>
      <w:r w:rsidR="00085D83" w:rsidRPr="006146DD">
        <w:rPr>
          <w:sz w:val="24"/>
          <w:szCs w:val="24"/>
        </w:rPr>
        <w:t>za</w:t>
      </w:r>
      <w:proofErr w:type="gramEnd"/>
      <w:r w:rsidR="00085D83" w:rsidRPr="006146DD">
        <w:rPr>
          <w:sz w:val="24"/>
          <w:szCs w:val="24"/>
        </w:rPr>
        <w:t xml:space="preserve"> robu koja je namenjena obavljannju delatnosti I izgradnji</w:t>
      </w:r>
      <w:r w:rsidRPr="006146DD">
        <w:rPr>
          <w:sz w:val="24"/>
          <w:szCs w:val="24"/>
        </w:rPr>
        <w:t xml:space="preserve">                </w:t>
      </w:r>
      <w:r w:rsidR="006146DD">
        <w:rPr>
          <w:sz w:val="24"/>
          <w:szCs w:val="24"/>
        </w:rPr>
        <w:t xml:space="preserve">                </w:t>
      </w:r>
      <w:r w:rsidR="00085D83" w:rsidRPr="006146DD">
        <w:rPr>
          <w:sz w:val="24"/>
          <w:szCs w:val="24"/>
        </w:rPr>
        <w:t xml:space="preserve">objekata u Slobodnoj zoni (repromaterijal, oprema, građevinski </w:t>
      </w:r>
      <w:r w:rsidRPr="006146DD">
        <w:rPr>
          <w:sz w:val="24"/>
          <w:szCs w:val="24"/>
        </w:rPr>
        <w:t xml:space="preserve"> </w:t>
      </w:r>
      <w:r w:rsidR="00085D83" w:rsidRPr="006146DD">
        <w:rPr>
          <w:sz w:val="24"/>
          <w:szCs w:val="24"/>
        </w:rPr>
        <w:t>materi</w:t>
      </w:r>
      <w:r w:rsidRPr="006146DD">
        <w:rPr>
          <w:sz w:val="24"/>
          <w:szCs w:val="24"/>
        </w:rPr>
        <w:t>j</w:t>
      </w:r>
      <w:r w:rsidR="00085D83" w:rsidRPr="006146DD">
        <w:rPr>
          <w:sz w:val="24"/>
          <w:szCs w:val="24"/>
        </w:rPr>
        <w:t>al</w:t>
      </w:r>
      <w:r w:rsidRPr="006146DD">
        <w:rPr>
          <w:sz w:val="24"/>
          <w:szCs w:val="24"/>
        </w:rPr>
        <w:t xml:space="preserve"> I ostala oslobađanja</w:t>
      </w:r>
      <w:r w:rsidR="00085D83" w:rsidRPr="006146DD">
        <w:rPr>
          <w:sz w:val="24"/>
          <w:szCs w:val="24"/>
        </w:rPr>
        <w:t>)</w:t>
      </w:r>
    </w:p>
    <w:p w:rsidR="00B126BC" w:rsidRPr="006146DD" w:rsidRDefault="00B126BC" w:rsidP="00B126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146DD">
        <w:rPr>
          <w:sz w:val="24"/>
          <w:szCs w:val="24"/>
        </w:rPr>
        <w:t>Finansijske pogodnosti</w:t>
      </w:r>
    </w:p>
    <w:p w:rsidR="00B126BC" w:rsidRPr="006146DD" w:rsidRDefault="00B126BC" w:rsidP="00B126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146DD">
        <w:rPr>
          <w:sz w:val="24"/>
          <w:szCs w:val="24"/>
        </w:rPr>
        <w:t>“User Friendly” uprava</w:t>
      </w:r>
    </w:p>
    <w:p w:rsidR="00231532" w:rsidRPr="006146DD" w:rsidRDefault="00231532" w:rsidP="00231532">
      <w:pPr>
        <w:pStyle w:val="ListParagraph"/>
        <w:ind w:left="1070"/>
        <w:rPr>
          <w:sz w:val="24"/>
          <w:szCs w:val="24"/>
        </w:rPr>
      </w:pPr>
    </w:p>
    <w:p w:rsidR="004A7F08" w:rsidRPr="006146DD" w:rsidRDefault="004A7F08" w:rsidP="00231532">
      <w:pPr>
        <w:pStyle w:val="ListParagraph"/>
        <w:ind w:left="1070"/>
        <w:rPr>
          <w:sz w:val="24"/>
          <w:szCs w:val="24"/>
        </w:rPr>
      </w:pPr>
    </w:p>
    <w:p w:rsidR="004A7F08" w:rsidRPr="006146DD" w:rsidRDefault="004A7F08" w:rsidP="00231532">
      <w:pPr>
        <w:pStyle w:val="ListParagraph"/>
        <w:ind w:left="1070"/>
        <w:rPr>
          <w:sz w:val="24"/>
          <w:szCs w:val="24"/>
        </w:rPr>
      </w:pPr>
    </w:p>
    <w:p w:rsidR="00231532" w:rsidRPr="006146DD" w:rsidRDefault="006146DD" w:rsidP="006146DD">
      <w:pPr>
        <w:pStyle w:val="ListParagraph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231532" w:rsidRPr="006146DD">
        <w:rPr>
          <w:sz w:val="24"/>
          <w:szCs w:val="24"/>
        </w:rPr>
        <w:t>U Kancelariji za lokalni ekonomski razvoj Gradsk</w:t>
      </w:r>
      <w:r w:rsidRPr="006146DD">
        <w:rPr>
          <w:sz w:val="24"/>
          <w:szCs w:val="24"/>
        </w:rPr>
        <w:t xml:space="preserve">e uprave Vranje se mogu dobiti </w:t>
      </w:r>
      <w:r w:rsidR="00231532" w:rsidRPr="006146DD">
        <w:rPr>
          <w:sz w:val="24"/>
          <w:szCs w:val="24"/>
        </w:rPr>
        <w:t xml:space="preserve">sve relevatne informacije o mogućnostima ulaganja u Vranje (makroekonomski indikatori, baza investicionih lokacija, baza primenjivih propisa itd) </w:t>
      </w:r>
      <w:proofErr w:type="gramStart"/>
      <w:r w:rsidR="00231532" w:rsidRPr="006146DD">
        <w:rPr>
          <w:sz w:val="24"/>
          <w:szCs w:val="24"/>
        </w:rPr>
        <w:t>sa</w:t>
      </w:r>
      <w:proofErr w:type="gramEnd"/>
      <w:r w:rsidR="00231532" w:rsidRPr="006146DD">
        <w:rPr>
          <w:sz w:val="24"/>
          <w:szCs w:val="24"/>
        </w:rPr>
        <w:t xml:space="preserve"> povezivanjem sa relevatnim lokalnim I nacionalnim institucijama od značaja za predmetnu investiciju.</w:t>
      </w:r>
    </w:p>
    <w:p w:rsidR="00231532" w:rsidRPr="006146DD" w:rsidRDefault="00231532" w:rsidP="00231532">
      <w:pPr>
        <w:spacing w:after="0" w:line="240" w:lineRule="auto"/>
        <w:jc w:val="both"/>
        <w:rPr>
          <w:sz w:val="24"/>
          <w:szCs w:val="24"/>
        </w:rPr>
      </w:pPr>
    </w:p>
    <w:p w:rsidR="00231532" w:rsidRPr="006146DD" w:rsidRDefault="00231532" w:rsidP="00231532">
      <w:pPr>
        <w:pStyle w:val="NoSpacing"/>
        <w:jc w:val="both"/>
        <w:rPr>
          <w:rFonts w:cstheme="minorHAnsi"/>
          <w:sz w:val="24"/>
          <w:szCs w:val="24"/>
        </w:rPr>
      </w:pPr>
      <w:r w:rsidRPr="006146DD">
        <w:rPr>
          <w:sz w:val="24"/>
          <w:szCs w:val="24"/>
        </w:rPr>
        <w:tab/>
      </w:r>
      <w:r w:rsidRPr="006146DD">
        <w:rPr>
          <w:rFonts w:cstheme="minorHAnsi"/>
          <w:sz w:val="24"/>
          <w:szCs w:val="24"/>
        </w:rPr>
        <w:t xml:space="preserve">       </w:t>
      </w:r>
      <w:r w:rsidR="006146DD">
        <w:rPr>
          <w:rFonts w:cstheme="minorHAnsi"/>
          <w:sz w:val="24"/>
          <w:szCs w:val="24"/>
        </w:rPr>
        <w:t xml:space="preserve"> </w:t>
      </w:r>
      <w:r w:rsidRPr="006146DD">
        <w:rPr>
          <w:rFonts w:cstheme="minorHAnsi"/>
          <w:sz w:val="24"/>
          <w:szCs w:val="24"/>
        </w:rPr>
        <w:t xml:space="preserve"> Dokaz da je Vranje prepoznatljivo i </w:t>
      </w:r>
      <w:proofErr w:type="gramStart"/>
      <w:r w:rsidRPr="006146DD">
        <w:rPr>
          <w:rFonts w:cstheme="minorHAnsi"/>
          <w:sz w:val="24"/>
          <w:szCs w:val="24"/>
        </w:rPr>
        <w:t>na</w:t>
      </w:r>
      <w:proofErr w:type="gramEnd"/>
      <w:r w:rsidRPr="006146DD">
        <w:rPr>
          <w:rFonts w:cstheme="minorHAnsi"/>
          <w:sz w:val="24"/>
          <w:szCs w:val="24"/>
        </w:rPr>
        <w:t xml:space="preserve"> međunarodnoj investicionoj mapi su, između ostalog, nekoliko priznanja Fajnenšel Tajmsa – FDI magazina za postojanje strategija za privlačenje investitora i isplativost ulaganja investitora, u prethodnom periodu.</w:t>
      </w:r>
    </w:p>
    <w:p w:rsidR="00231532" w:rsidRPr="006146DD" w:rsidRDefault="00231532" w:rsidP="00231532">
      <w:pPr>
        <w:pStyle w:val="NoSpacing"/>
        <w:jc w:val="both"/>
        <w:rPr>
          <w:rFonts w:cstheme="minorHAnsi"/>
          <w:sz w:val="24"/>
          <w:szCs w:val="24"/>
        </w:rPr>
      </w:pPr>
      <w:r w:rsidRPr="006146DD">
        <w:rPr>
          <w:rFonts w:cstheme="minorHAnsi"/>
          <w:sz w:val="24"/>
          <w:szCs w:val="24"/>
        </w:rPr>
        <w:t xml:space="preserve">                       Sertifikat za opštine </w:t>
      </w:r>
      <w:proofErr w:type="gramStart"/>
      <w:r w:rsidRPr="006146DD">
        <w:rPr>
          <w:rFonts w:cstheme="minorHAnsi"/>
          <w:sz w:val="24"/>
          <w:szCs w:val="24"/>
        </w:rPr>
        <w:t>sa</w:t>
      </w:r>
      <w:proofErr w:type="gramEnd"/>
      <w:r w:rsidRPr="006146DD">
        <w:rPr>
          <w:rFonts w:cstheme="minorHAnsi"/>
          <w:sz w:val="24"/>
          <w:szCs w:val="24"/>
        </w:rPr>
        <w:t xml:space="preserve"> dobrim poslovnim okruženjem, titula vicešampiona lokalnog ekonomskog razvoja, priznanja za transparentnost, brzo izdavanje dozvola, i ostale nagrade su refleksija odgovornog, ozbiljnog i proaktivnog pristupa lokalne samouprave Vranje održivom razvoju. </w:t>
      </w:r>
    </w:p>
    <w:p w:rsidR="00231532" w:rsidRPr="00231532" w:rsidRDefault="00231532" w:rsidP="00231532">
      <w:pPr>
        <w:tabs>
          <w:tab w:val="left" w:pos="1155"/>
        </w:tabs>
      </w:pPr>
    </w:p>
    <w:p w:rsidR="008D69C0" w:rsidRPr="00CF1D29" w:rsidRDefault="00F104BB" w:rsidP="00F104BB">
      <w:pPr>
        <w:pStyle w:val="Heading1"/>
        <w:keepNext w:val="0"/>
        <w:keepLines w:val="0"/>
        <w:pageBreakBefore/>
        <w:spacing w:line="257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29" w:name="_Toc26193262"/>
      <w:proofErr w:type="gramStart"/>
      <w:r w:rsidRPr="00CF1D29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Prilog 1.</w:t>
      </w:r>
      <w:proofErr w:type="gramEnd"/>
      <w:r w:rsidRPr="00CF1D2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gramStart"/>
      <w:r w:rsidR="008D69C0" w:rsidRPr="00CF1D29">
        <w:rPr>
          <w:rFonts w:asciiTheme="minorHAnsi" w:hAnsiTheme="minorHAnsi" w:cstheme="minorHAnsi"/>
          <w:b/>
          <w:bCs/>
          <w:color w:val="auto"/>
          <w:sz w:val="24"/>
          <w:szCs w:val="24"/>
        </w:rPr>
        <w:t>Kako registrovati biznis u Srbiji?</w:t>
      </w:r>
      <w:proofErr w:type="gramEnd"/>
    </w:p>
    <w:bookmarkEnd w:id="29"/>
    <w:p w:rsidR="00E30BD7" w:rsidRPr="00CF1D29" w:rsidRDefault="00E30BD7" w:rsidP="00E30B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7035" w:rsidRPr="00CF1D29" w:rsidRDefault="00617035" w:rsidP="006170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0BD7" w:rsidRPr="00DA05E2" w:rsidRDefault="00E30BD7" w:rsidP="00E30BD7">
      <w:pPr>
        <w:spacing w:after="0" w:line="240" w:lineRule="auto"/>
        <w:jc w:val="both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Procedura registracije biznisa u Republici Srbiji je veoma jednostavna. Dovoljno je da posetite internet stranicu Agencije za privredne registre (APR) i preuzmete obrazac - Jedinstvena registraciona prijava osnivanja pravnih lica i drugih subjekata. Takođe možete posetiti i najbližu Agenciju za privredne registre u kojoj će Vam dati sve potrebne informacije za registrovanje.</w:t>
      </w:r>
    </w:p>
    <w:p w:rsidR="00E30BD7" w:rsidRPr="00DA05E2" w:rsidRDefault="00E30BD7" w:rsidP="00E30BD7">
      <w:pPr>
        <w:spacing w:after="0" w:line="240" w:lineRule="auto"/>
        <w:jc w:val="both"/>
        <w:rPr>
          <w:rFonts w:cstheme="minorHAnsi"/>
          <w:sz w:val="24"/>
          <w:szCs w:val="24"/>
          <w:lang w:val="de-CH"/>
        </w:rPr>
      </w:pPr>
    </w:p>
    <w:p w:rsidR="00E30BD7" w:rsidRPr="00DA05E2" w:rsidRDefault="00E30BD7" w:rsidP="00E30BD7">
      <w:pPr>
        <w:spacing w:after="0" w:line="240" w:lineRule="auto"/>
        <w:jc w:val="both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U skladu sa Zakonom o privrednim društvima u Agenciji za privredne registre se upisuju sledeće pravne forme:</w:t>
      </w:r>
    </w:p>
    <w:p w:rsidR="00E30BD7" w:rsidRPr="00CF1D29" w:rsidRDefault="00E30BD7" w:rsidP="00972DA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preduzetnička radnja</w:t>
      </w:r>
    </w:p>
    <w:p w:rsidR="00E30BD7" w:rsidRPr="00CF1D29" w:rsidRDefault="00E30BD7" w:rsidP="00972DA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privredna društva (ortačko društvo; komanditno društvo; društvo sa ograničenom odgovornošću; akcionarsko društvo)</w:t>
      </w:r>
    </w:p>
    <w:p w:rsidR="00E30BD7" w:rsidRPr="00CF1D29" w:rsidRDefault="00E30BD7" w:rsidP="00972DA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ogranak stranog privrednog društva</w:t>
      </w:r>
    </w:p>
    <w:p w:rsidR="00E30BD7" w:rsidRPr="00CF1D29" w:rsidRDefault="00E30BD7" w:rsidP="00972DA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predstavništvo stranog privrednog društva</w:t>
      </w:r>
    </w:p>
    <w:p w:rsidR="00E30BD7" w:rsidRPr="00CF1D29" w:rsidRDefault="00E30BD7" w:rsidP="00972DA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javno preduzeće</w:t>
      </w:r>
    </w:p>
    <w:p w:rsidR="00E30BD7" w:rsidRPr="00CF1D29" w:rsidRDefault="00E30BD7" w:rsidP="00972DA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zadruga</w:t>
      </w:r>
    </w:p>
    <w:p w:rsidR="00E30BD7" w:rsidRPr="00CF1D29" w:rsidRDefault="00E30BD7" w:rsidP="00972DA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zadružni savez</w:t>
      </w:r>
    </w:p>
    <w:p w:rsidR="00E30BD7" w:rsidRPr="00CF1D29" w:rsidRDefault="00E30BD7" w:rsidP="00972DA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CF1D29">
        <w:rPr>
          <w:rFonts w:cstheme="minorHAnsi"/>
          <w:sz w:val="24"/>
          <w:szCs w:val="24"/>
        </w:rPr>
        <w:t>drugi</w:t>
      </w:r>
      <w:proofErr w:type="gramEnd"/>
      <w:r w:rsidRPr="00CF1D29">
        <w:rPr>
          <w:rFonts w:cstheme="minorHAnsi"/>
          <w:sz w:val="24"/>
          <w:szCs w:val="24"/>
        </w:rPr>
        <w:t xml:space="preserve"> subjekt ako je to propisano posebnim zakonom.</w:t>
      </w:r>
    </w:p>
    <w:p w:rsidR="00E30BD7" w:rsidRPr="00CF1D29" w:rsidRDefault="00E30BD7" w:rsidP="00E30B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0BD7" w:rsidRPr="00CF1D29" w:rsidRDefault="00E30BD7" w:rsidP="00E30B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0BD7" w:rsidRPr="00CF1D29" w:rsidRDefault="00E30BD7" w:rsidP="00E30B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Proces registracije je veoma kratak i traje </w:t>
      </w:r>
      <w:proofErr w:type="gramStart"/>
      <w:r w:rsidRPr="00CF1D29">
        <w:rPr>
          <w:rFonts w:cstheme="minorHAnsi"/>
          <w:sz w:val="24"/>
          <w:szCs w:val="24"/>
        </w:rPr>
        <w:t>od</w:t>
      </w:r>
      <w:proofErr w:type="gramEnd"/>
      <w:r w:rsidRPr="00CF1D29">
        <w:rPr>
          <w:rFonts w:cstheme="minorHAnsi"/>
          <w:sz w:val="24"/>
          <w:szCs w:val="24"/>
        </w:rPr>
        <w:t xml:space="preserve"> tri do pet radnih dana.</w:t>
      </w:r>
    </w:p>
    <w:p w:rsidR="00E30BD7" w:rsidRPr="00CF1D29" w:rsidRDefault="00E30BD7" w:rsidP="00E30B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0BD7" w:rsidRPr="00CF1D29" w:rsidRDefault="00E30BD7" w:rsidP="00E30B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Troškovi registracije iznose </w:t>
      </w:r>
      <w:proofErr w:type="gramStart"/>
      <w:r w:rsidRPr="00CF1D29">
        <w:rPr>
          <w:rFonts w:cstheme="minorHAnsi"/>
          <w:sz w:val="24"/>
          <w:szCs w:val="24"/>
        </w:rPr>
        <w:t>od</w:t>
      </w:r>
      <w:proofErr w:type="gramEnd"/>
      <w:r w:rsidRPr="00CF1D29">
        <w:rPr>
          <w:rFonts w:cstheme="minorHAnsi"/>
          <w:sz w:val="24"/>
          <w:szCs w:val="24"/>
        </w:rPr>
        <w:t xml:space="preserve"> 1.500,00 do 18.000,00</w:t>
      </w:r>
      <w:r w:rsidR="008D69C0" w:rsidRPr="00CF1D29">
        <w:rPr>
          <w:rFonts w:cstheme="minorHAnsi"/>
          <w:sz w:val="24"/>
          <w:szCs w:val="24"/>
        </w:rPr>
        <w:t xml:space="preserve"> dinara</w:t>
      </w:r>
      <w:r w:rsidRPr="00CF1D29">
        <w:rPr>
          <w:rFonts w:cstheme="minorHAnsi"/>
          <w:sz w:val="24"/>
          <w:szCs w:val="24"/>
        </w:rPr>
        <w:t xml:space="preserve"> u zavisnosti od oblika i forme.</w:t>
      </w:r>
    </w:p>
    <w:p w:rsidR="00E30BD7" w:rsidRPr="00CF1D29" w:rsidRDefault="00E30BD7" w:rsidP="00E30B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A2A23" w:rsidRPr="00CF1D29" w:rsidRDefault="008A2A23" w:rsidP="00E30BD7">
      <w:p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Najčešći oblik registracije u Srbiji je preduzetnik </w:t>
      </w:r>
      <w:proofErr w:type="gramStart"/>
      <w:r w:rsidRPr="00CF1D29">
        <w:rPr>
          <w:rFonts w:cstheme="minorHAnsi"/>
          <w:sz w:val="24"/>
          <w:szCs w:val="24"/>
        </w:rPr>
        <w:t>ili</w:t>
      </w:r>
      <w:proofErr w:type="gramEnd"/>
      <w:r w:rsidRPr="00CF1D29">
        <w:rPr>
          <w:rFonts w:cstheme="minorHAnsi"/>
          <w:sz w:val="24"/>
          <w:szCs w:val="24"/>
        </w:rPr>
        <w:t xml:space="preserve"> DOO - Društvo sa ograničenom odgovornošću</w:t>
      </w:r>
    </w:p>
    <w:p w:rsidR="008A2A23" w:rsidRPr="00CF1D29" w:rsidRDefault="008A2A23" w:rsidP="008A2A23">
      <w:pPr>
        <w:pStyle w:val="NoSpacing"/>
        <w:rPr>
          <w:rFonts w:cstheme="minorHAnsi"/>
          <w:sz w:val="24"/>
          <w:szCs w:val="24"/>
          <w:u w:val="single"/>
        </w:rPr>
      </w:pPr>
      <w:r w:rsidRPr="00CF1D29">
        <w:rPr>
          <w:rFonts w:cstheme="minorHAnsi"/>
          <w:sz w:val="24"/>
          <w:szCs w:val="24"/>
          <w:u w:val="single"/>
        </w:rPr>
        <w:t>Osnovne sličnosti i razlika između preduzetnika i DOO:</w:t>
      </w:r>
    </w:p>
    <w:p w:rsidR="008A2A23" w:rsidRPr="00CF1D29" w:rsidRDefault="008A2A23" w:rsidP="008A2A23">
      <w:pPr>
        <w:pStyle w:val="NoSpacing"/>
        <w:rPr>
          <w:rFonts w:cstheme="minorHAnsi"/>
          <w:sz w:val="24"/>
          <w:szCs w:val="24"/>
        </w:rPr>
      </w:pPr>
    </w:p>
    <w:p w:rsidR="008A2A23" w:rsidRPr="00CF1D29" w:rsidRDefault="008A2A23" w:rsidP="008A2A23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Postupak registracije kod APR-a za preduzetnika je jednostavniji nego za DOO.</w:t>
      </w:r>
    </w:p>
    <w:p w:rsidR="008A2A23" w:rsidRPr="00CF1D29" w:rsidRDefault="008A2A23" w:rsidP="008A2A23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Preduzetnik može biti stranac, lice koje </w:t>
      </w:r>
      <w:proofErr w:type="gramStart"/>
      <w:r w:rsidRPr="00CF1D29">
        <w:rPr>
          <w:rFonts w:cstheme="minorHAnsi"/>
          <w:sz w:val="24"/>
          <w:szCs w:val="24"/>
        </w:rPr>
        <w:t>nema</w:t>
      </w:r>
      <w:proofErr w:type="gramEnd"/>
      <w:r w:rsidRPr="00CF1D29">
        <w:rPr>
          <w:rFonts w:cstheme="minorHAnsi"/>
          <w:sz w:val="24"/>
          <w:szCs w:val="24"/>
        </w:rPr>
        <w:t xml:space="preserve"> prebivalište u Srbiji, ali za dalje obavljanje poslovnih aktivnosti mora da dobije boravišnu i radnu dozvolu.</w:t>
      </w:r>
    </w:p>
    <w:p w:rsidR="008A2A23" w:rsidRPr="00CF1D29" w:rsidRDefault="008A2A23" w:rsidP="008A2A23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Osnivač DOO može biti i strano fizičko i strano pravno lice. Stranac оsnivač nije dužan da poseduje boravišnu i radnu dozvolu.</w:t>
      </w:r>
    </w:p>
    <w:p w:rsidR="008A2A23" w:rsidRPr="00CF1D29" w:rsidRDefault="008A2A23" w:rsidP="008A2A23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U pogledu vlasništva, kroz DOO se lakše realizuju partnerski odnosi, jer preduzetnik predstavlja individuu koja pravno gledano </w:t>
      </w:r>
      <w:proofErr w:type="gramStart"/>
      <w:r w:rsidRPr="00CF1D29">
        <w:rPr>
          <w:rFonts w:cstheme="minorHAnsi"/>
          <w:sz w:val="24"/>
          <w:szCs w:val="24"/>
        </w:rPr>
        <w:t>sama</w:t>
      </w:r>
      <w:proofErr w:type="gramEnd"/>
      <w:r w:rsidRPr="00CF1D29">
        <w:rPr>
          <w:rFonts w:cstheme="minorHAnsi"/>
          <w:sz w:val="24"/>
          <w:szCs w:val="24"/>
        </w:rPr>
        <w:t xml:space="preserve"> snosi sve koristi i posledice nastale iz obavljanja poslovne aktivnosti.</w:t>
      </w:r>
    </w:p>
    <w:p w:rsidR="008A2A23" w:rsidRPr="00CF1D29" w:rsidRDefault="008A2A23" w:rsidP="008A2A23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Preduzetnik za obaveze iz poslovanja odgovara celokupnom svojom imovinom, neograničeno, a za poreske obaveze i </w:t>
      </w:r>
      <w:proofErr w:type="gramStart"/>
      <w:r w:rsidRPr="00CF1D29">
        <w:rPr>
          <w:rFonts w:cstheme="minorHAnsi"/>
          <w:sz w:val="24"/>
          <w:szCs w:val="24"/>
        </w:rPr>
        <w:t>sa</w:t>
      </w:r>
      <w:proofErr w:type="gramEnd"/>
      <w:r w:rsidRPr="00CF1D29">
        <w:rPr>
          <w:rFonts w:cstheme="minorHAnsi"/>
          <w:sz w:val="24"/>
          <w:szCs w:val="24"/>
        </w:rPr>
        <w:t xml:space="preserve"> imovinom svih punoletnih članova domaćinstva (član 157 Zakona o porezu na dohodak građana).</w:t>
      </w:r>
    </w:p>
    <w:p w:rsidR="008A2A23" w:rsidRPr="00CF1D29" w:rsidRDefault="008A2A23" w:rsidP="008A2A23">
      <w:pPr>
        <w:pStyle w:val="NoSpacing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Osnivač DOO za obaveze DOO odgovara samo upisanim ulozima, a ne odgovara svojom imovinom. </w:t>
      </w:r>
    </w:p>
    <w:p w:rsidR="008A2A23" w:rsidRPr="00CF1D29" w:rsidRDefault="008A2A23" w:rsidP="008A2A23">
      <w:pPr>
        <w:pStyle w:val="NoSpacing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DOO kod osnivanja obavezno upisuje i kod APR-a registruje ulog, ali on ne mora biti veći od 100 dinara i naknadno se može povećavati</w:t>
      </w:r>
    </w:p>
    <w:p w:rsidR="008A2A23" w:rsidRPr="00CF1D29" w:rsidRDefault="008A2A23" w:rsidP="008A2A23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lastRenderedPageBreak/>
        <w:t>Kazne za prekršaje najčešće su za duplo, a u nekim slučajevima i do deset puta manje za preduzetnike nego za DOO.</w:t>
      </w:r>
    </w:p>
    <w:p w:rsidR="008A2A23" w:rsidRPr="00CF1D29" w:rsidRDefault="008A2A23" w:rsidP="008A2A2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Preduzetnik može poslovne knjige voditi po sistemu prostog </w:t>
      </w:r>
      <w:proofErr w:type="gramStart"/>
      <w:r w:rsidRPr="00CF1D29">
        <w:rPr>
          <w:rFonts w:cstheme="minorHAnsi"/>
          <w:sz w:val="24"/>
          <w:szCs w:val="24"/>
        </w:rPr>
        <w:t>ili</w:t>
      </w:r>
      <w:proofErr w:type="gramEnd"/>
      <w:r w:rsidRPr="00CF1D29">
        <w:rPr>
          <w:rFonts w:cstheme="minorHAnsi"/>
          <w:sz w:val="24"/>
          <w:szCs w:val="24"/>
        </w:rPr>
        <w:t xml:space="preserve"> po sistemu dvojnog knjigovodstva, dok DOO poslovne knjige mora voditi po sistemu dvojnog knjigovodstva.</w:t>
      </w:r>
    </w:p>
    <w:p w:rsidR="008A2A23" w:rsidRPr="00CF1D29" w:rsidRDefault="008A2A23" w:rsidP="008A2A2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Preduzetnici se mogu opredeliti i prijaviti za paušalno oporezivanje, osim u slučajevima pobrojanim članom 40</w:t>
      </w:r>
      <w:proofErr w:type="gramStart"/>
      <w:r w:rsidRPr="00CF1D29">
        <w:rPr>
          <w:rFonts w:cstheme="minorHAnsi"/>
          <w:sz w:val="24"/>
          <w:szCs w:val="24"/>
        </w:rPr>
        <w:t>,stav</w:t>
      </w:r>
      <w:proofErr w:type="gramEnd"/>
      <w:r w:rsidRPr="00CF1D29">
        <w:rPr>
          <w:rFonts w:cstheme="minorHAnsi"/>
          <w:sz w:val="24"/>
          <w:szCs w:val="24"/>
        </w:rPr>
        <w:t xml:space="preserve"> 2 Zakona o porezu na dohodak građana (npr. trgovina kao delatnost, bilo koja delatnost sa prometom preko 6.000.000,00 din u toku kalendarske godine itd.)</w:t>
      </w:r>
    </w:p>
    <w:p w:rsidR="008A2A23" w:rsidRPr="00CF1D29" w:rsidRDefault="008A2A23" w:rsidP="008A2A2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Bez obzira </w:t>
      </w:r>
      <w:proofErr w:type="gramStart"/>
      <w:r w:rsidRPr="00CF1D29">
        <w:rPr>
          <w:rFonts w:cstheme="minorHAnsi"/>
          <w:sz w:val="24"/>
          <w:szCs w:val="24"/>
        </w:rPr>
        <w:t>na</w:t>
      </w:r>
      <w:proofErr w:type="gramEnd"/>
      <w:r w:rsidRPr="00CF1D29">
        <w:rPr>
          <w:rFonts w:cstheme="minorHAnsi"/>
          <w:sz w:val="24"/>
          <w:szCs w:val="24"/>
        </w:rPr>
        <w:t xml:space="preserve"> delatnost, paušalac ne može biti preduzetnik koji je u sistemu PDV-a.</w:t>
      </w:r>
    </w:p>
    <w:p w:rsidR="008A2A23" w:rsidRPr="00CF1D29" w:rsidRDefault="008A2A23" w:rsidP="008A2A2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DOO </w:t>
      </w:r>
      <w:proofErr w:type="gramStart"/>
      <w:r w:rsidRPr="00CF1D29">
        <w:rPr>
          <w:rFonts w:cstheme="minorHAnsi"/>
          <w:sz w:val="24"/>
          <w:szCs w:val="24"/>
        </w:rPr>
        <w:t>ni</w:t>
      </w:r>
      <w:proofErr w:type="gramEnd"/>
      <w:r w:rsidRPr="00CF1D29">
        <w:rPr>
          <w:rFonts w:cstheme="minorHAnsi"/>
          <w:sz w:val="24"/>
          <w:szCs w:val="24"/>
        </w:rPr>
        <w:t xml:space="preserve"> u kojem slučaju ne može biti paušalac.</w:t>
      </w:r>
    </w:p>
    <w:p w:rsidR="008A2A23" w:rsidRPr="00CF1D29" w:rsidRDefault="008A2A23" w:rsidP="008A2A2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Porez </w:t>
      </w:r>
      <w:proofErr w:type="gramStart"/>
      <w:r w:rsidRPr="00CF1D29">
        <w:rPr>
          <w:rFonts w:cstheme="minorHAnsi"/>
          <w:sz w:val="24"/>
          <w:szCs w:val="24"/>
        </w:rPr>
        <w:t>na</w:t>
      </w:r>
      <w:proofErr w:type="gramEnd"/>
      <w:r w:rsidRPr="00CF1D29">
        <w:rPr>
          <w:rFonts w:cstheme="minorHAnsi"/>
          <w:sz w:val="24"/>
          <w:szCs w:val="24"/>
        </w:rPr>
        <w:t xml:space="preserve"> dobit (dohodak) plaća se na razliku između prihoda i rashoda, odnosno dobit, i kod preduzetnika i kod DOO. Stopa poreza kod preduzetnika je 10%, a kod DOO je 15%.</w:t>
      </w:r>
    </w:p>
    <w:p w:rsidR="008A2A23" w:rsidRPr="00CF1D29" w:rsidRDefault="008A2A23" w:rsidP="008A2A2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Preduzetnik može promeniti pravnu formu u DOO, a DOO ne može promeniti pravnu formu u preduzetnika.</w:t>
      </w:r>
    </w:p>
    <w:p w:rsidR="00DC1393" w:rsidRPr="00CF1D29" w:rsidRDefault="008A2A23" w:rsidP="008A2A2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Preduzetnik ne može imati statusne promene spajanja, pripajanja, izdvajanja </w:t>
      </w:r>
      <w:proofErr w:type="gramStart"/>
      <w:r w:rsidRPr="00CF1D29">
        <w:rPr>
          <w:rFonts w:cstheme="minorHAnsi"/>
          <w:sz w:val="24"/>
          <w:szCs w:val="24"/>
        </w:rPr>
        <w:t>ili</w:t>
      </w:r>
      <w:proofErr w:type="gramEnd"/>
      <w:r w:rsidRPr="00CF1D29">
        <w:rPr>
          <w:rFonts w:cstheme="minorHAnsi"/>
          <w:sz w:val="24"/>
          <w:szCs w:val="24"/>
        </w:rPr>
        <w:t xml:space="preserve"> podele, a DOO može.</w:t>
      </w:r>
      <w:r w:rsidR="00DC1393" w:rsidRPr="00CF1D29">
        <w:rPr>
          <w:rFonts w:cstheme="minorHAnsi"/>
          <w:sz w:val="24"/>
          <w:szCs w:val="24"/>
        </w:rPr>
        <w:t xml:space="preserve"> </w:t>
      </w:r>
    </w:p>
    <w:p w:rsidR="008A2A23" w:rsidRPr="00CF1D29" w:rsidRDefault="008A2A23" w:rsidP="008A2A23">
      <w:pPr>
        <w:pStyle w:val="NoSpacing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DOO može promeniti vlasnika, a preduzetnik ne može.</w:t>
      </w:r>
    </w:p>
    <w:p w:rsidR="008A2A23" w:rsidRPr="00CF1D29" w:rsidRDefault="008A2A23" w:rsidP="008A2A23">
      <w:pPr>
        <w:pStyle w:val="NoSpacing"/>
        <w:rPr>
          <w:rFonts w:cstheme="minorHAnsi"/>
          <w:sz w:val="24"/>
          <w:szCs w:val="24"/>
        </w:rPr>
      </w:pPr>
    </w:p>
    <w:p w:rsidR="008A2A23" w:rsidRPr="00CF1D29" w:rsidRDefault="008A2A23" w:rsidP="00617035">
      <w:pPr>
        <w:pStyle w:val="NoSpacing"/>
        <w:rPr>
          <w:sz w:val="24"/>
          <w:szCs w:val="24"/>
        </w:rPr>
      </w:pPr>
    </w:p>
    <w:p w:rsidR="00972DA3" w:rsidRPr="00CF1D29" w:rsidRDefault="00972DA3" w:rsidP="00617035">
      <w:pPr>
        <w:pStyle w:val="NoSpacing"/>
        <w:rPr>
          <w:sz w:val="24"/>
          <w:szCs w:val="24"/>
        </w:rPr>
      </w:pPr>
      <w:bookmarkStart w:id="30" w:name="_Toc26193273"/>
      <w:r w:rsidRPr="00CF1D29">
        <w:rPr>
          <w:sz w:val="24"/>
          <w:szCs w:val="24"/>
        </w:rPr>
        <w:t xml:space="preserve">OSNIVANJE PRIVREDNOG DRUŠTVA </w:t>
      </w:r>
      <w:r w:rsidR="006264A3" w:rsidRPr="00CF1D29">
        <w:rPr>
          <w:sz w:val="24"/>
          <w:szCs w:val="24"/>
        </w:rPr>
        <w:t xml:space="preserve">I PREDSTAVNIŠTVA </w:t>
      </w:r>
      <w:r w:rsidRPr="00CF1D29">
        <w:rPr>
          <w:sz w:val="24"/>
          <w:szCs w:val="24"/>
        </w:rPr>
        <w:t>OD STRANE STRANOG ULAGAČA</w:t>
      </w:r>
      <w:bookmarkEnd w:id="30"/>
    </w:p>
    <w:p w:rsidR="008D69C0" w:rsidRPr="00CF1D29" w:rsidRDefault="008D69C0" w:rsidP="00617035">
      <w:pPr>
        <w:pStyle w:val="NoSpacing"/>
        <w:rPr>
          <w:sz w:val="24"/>
          <w:szCs w:val="24"/>
        </w:rPr>
      </w:pPr>
    </w:p>
    <w:p w:rsidR="00972DA3" w:rsidRPr="00CF1D29" w:rsidRDefault="00972DA3" w:rsidP="00617035">
      <w:pPr>
        <w:pStyle w:val="NoSpacing"/>
        <w:rPr>
          <w:sz w:val="24"/>
          <w:szCs w:val="24"/>
        </w:rPr>
      </w:pPr>
      <w:r w:rsidRPr="00CF1D29">
        <w:rPr>
          <w:sz w:val="24"/>
          <w:szCs w:val="24"/>
        </w:rPr>
        <w:t>Strani ulagač (strano pravno lice sa sedištem u inostranstvu, uključujući i ogranak stranog pravnog lica koji je registrovan u Republici Srbiji; strani državljanin, bez obzira na stalno mesto boravka; državljanin Republike Srbije sa stalnim mestom boravka izvan Republike Srbije dužim od jedne godine) može osnivati privredno društvo u Srbiji u skladu sa Zakonom o privrednim društvima i zakonom kojim se uređuju ulaganja</w:t>
      </w:r>
    </w:p>
    <w:p w:rsidR="00617035" w:rsidRPr="00CF1D29" w:rsidRDefault="00617035" w:rsidP="00617035">
      <w:pPr>
        <w:pStyle w:val="NoSpacing"/>
        <w:rPr>
          <w:sz w:val="24"/>
          <w:szCs w:val="24"/>
        </w:rPr>
      </w:pPr>
    </w:p>
    <w:p w:rsidR="00972DA3" w:rsidRPr="00CF1D29" w:rsidRDefault="00972DA3" w:rsidP="00617035">
      <w:pPr>
        <w:pStyle w:val="NoSpacing"/>
        <w:rPr>
          <w:sz w:val="24"/>
          <w:szCs w:val="24"/>
        </w:rPr>
      </w:pPr>
      <w:r w:rsidRPr="00CF1D29">
        <w:rPr>
          <w:sz w:val="24"/>
          <w:szCs w:val="24"/>
        </w:rPr>
        <w:t xml:space="preserve">Strani ulagač u pogledu svog ulaganja uživa jednak položaj i ima ista prava i obaveze kao i domaći ulagač ukoliko Zakonom o ulaganjima </w:t>
      </w:r>
      <w:proofErr w:type="gramStart"/>
      <w:r w:rsidRPr="00CF1D29">
        <w:rPr>
          <w:sz w:val="24"/>
          <w:szCs w:val="24"/>
        </w:rPr>
        <w:t>ili</w:t>
      </w:r>
      <w:proofErr w:type="gramEnd"/>
      <w:r w:rsidRPr="00CF1D29">
        <w:rPr>
          <w:sz w:val="24"/>
          <w:szCs w:val="24"/>
        </w:rPr>
        <w:t xml:space="preserve"> drugim zakonom nije drugačije predviđeno.</w:t>
      </w:r>
    </w:p>
    <w:p w:rsidR="00972DA3" w:rsidRPr="00CF1D29" w:rsidRDefault="00972DA3" w:rsidP="00617035">
      <w:pPr>
        <w:pStyle w:val="NoSpacing"/>
        <w:rPr>
          <w:sz w:val="24"/>
          <w:szCs w:val="24"/>
        </w:rPr>
      </w:pPr>
    </w:p>
    <w:p w:rsidR="00972DA3" w:rsidRPr="00CF1D29" w:rsidRDefault="00972DA3" w:rsidP="00617035">
      <w:pPr>
        <w:pStyle w:val="NoSpacing"/>
        <w:rPr>
          <w:b/>
          <w:bCs/>
          <w:sz w:val="24"/>
          <w:szCs w:val="24"/>
        </w:rPr>
      </w:pPr>
    </w:p>
    <w:p w:rsidR="00972DA3" w:rsidRPr="00CF1D29" w:rsidRDefault="00972DA3" w:rsidP="00972DA3">
      <w:pPr>
        <w:rPr>
          <w:rFonts w:cstheme="minorHAnsi"/>
          <w:sz w:val="24"/>
          <w:szCs w:val="24"/>
          <w:u w:val="single"/>
        </w:rPr>
      </w:pPr>
      <w:r w:rsidRPr="00CF1D29">
        <w:rPr>
          <w:rFonts w:cstheme="minorHAnsi"/>
          <w:sz w:val="24"/>
          <w:szCs w:val="24"/>
          <w:u w:val="single"/>
        </w:rPr>
        <w:t>Procedura registracije privrednog subjekta za strane osnivače</w:t>
      </w:r>
      <w:bookmarkStart w:id="31" w:name="clan_9"/>
      <w:bookmarkEnd w:id="31"/>
    </w:p>
    <w:p w:rsidR="00972DA3" w:rsidRPr="00CF1D29" w:rsidRDefault="00972DA3" w:rsidP="00972D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Predstavništvo stranog privrednog društva je njegov izdvojeni organizacioni deo, koji može obavljati prethodne i pripremne radnje u cilju zaključenja pravnog posla tog društva</w:t>
      </w:r>
    </w:p>
    <w:p w:rsidR="00972DA3" w:rsidRPr="00CF1D29" w:rsidRDefault="00972DA3" w:rsidP="00972D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2DA3" w:rsidRPr="00CF1D29" w:rsidRDefault="00972DA3" w:rsidP="00972D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Predstavništvo </w:t>
      </w:r>
      <w:proofErr w:type="gramStart"/>
      <w:r w:rsidRPr="00CF1D29">
        <w:rPr>
          <w:rFonts w:cstheme="minorHAnsi"/>
          <w:sz w:val="24"/>
          <w:szCs w:val="24"/>
        </w:rPr>
        <w:t>nema</w:t>
      </w:r>
      <w:proofErr w:type="gramEnd"/>
      <w:r w:rsidRPr="00CF1D29">
        <w:rPr>
          <w:rFonts w:cstheme="minorHAnsi"/>
          <w:sz w:val="24"/>
          <w:szCs w:val="24"/>
        </w:rPr>
        <w:t xml:space="preserve"> svojstvo pravnog lica i može zaključivati samo pravne poslove u vezi sa svojim tekućim poslovanjem. </w:t>
      </w:r>
      <w:proofErr w:type="gramStart"/>
      <w:r w:rsidRPr="00CF1D29">
        <w:rPr>
          <w:rFonts w:cstheme="minorHAnsi"/>
          <w:sz w:val="24"/>
          <w:szCs w:val="24"/>
        </w:rPr>
        <w:t>Strano privredno društvo odgovara za obaveze prema trećim licima koje nastanu u poslovanju njegovog predstavništva.</w:t>
      </w:r>
      <w:proofErr w:type="gramEnd"/>
    </w:p>
    <w:p w:rsidR="00972DA3" w:rsidRPr="00CF1D29" w:rsidRDefault="00972DA3" w:rsidP="00972D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2DA3" w:rsidRPr="00CF1D29" w:rsidRDefault="00972DA3" w:rsidP="00972D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Predstavništvo se obrazuje odlukom nadležnog organa stranog privrednog društva, koja obavezno sadrži:</w:t>
      </w:r>
    </w:p>
    <w:p w:rsidR="00972DA3" w:rsidRPr="00DA05E2" w:rsidRDefault="00972DA3" w:rsidP="006264A3">
      <w:pPr>
        <w:pStyle w:val="ListParagraph"/>
        <w:numPr>
          <w:ilvl w:val="0"/>
          <w:numId w:val="13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naziv i sedište registra u kom je osnivač predstavništva registrovan</w:t>
      </w:r>
    </w:p>
    <w:p w:rsidR="00972DA3" w:rsidRPr="00DA05E2" w:rsidRDefault="00972DA3" w:rsidP="006264A3">
      <w:pPr>
        <w:pStyle w:val="ListParagraph"/>
        <w:numPr>
          <w:ilvl w:val="0"/>
          <w:numId w:val="13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naziv, pravnu formu i sedište osnivača predstavništva</w:t>
      </w:r>
    </w:p>
    <w:p w:rsidR="00972DA3" w:rsidRPr="00CF1D29" w:rsidRDefault="00972DA3" w:rsidP="006264A3">
      <w:pPr>
        <w:pStyle w:val="ListParagraph"/>
        <w:numPr>
          <w:ilvl w:val="0"/>
          <w:numId w:val="13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lastRenderedPageBreak/>
        <w:t>matični/registarski broj osnivača predstavništva</w:t>
      </w:r>
    </w:p>
    <w:p w:rsidR="00972DA3" w:rsidRPr="00CF1D29" w:rsidRDefault="00972DA3" w:rsidP="006264A3">
      <w:pPr>
        <w:pStyle w:val="ListParagraph"/>
        <w:numPr>
          <w:ilvl w:val="0"/>
          <w:numId w:val="13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lično ime, odnosno poslovno ime zastupnika osnivača predstavništva</w:t>
      </w:r>
    </w:p>
    <w:p w:rsidR="00972DA3" w:rsidRPr="00CF1D29" w:rsidRDefault="00972DA3" w:rsidP="006264A3">
      <w:pPr>
        <w:pStyle w:val="ListParagraph"/>
        <w:numPr>
          <w:ilvl w:val="0"/>
          <w:numId w:val="13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adresu predstavništva</w:t>
      </w:r>
    </w:p>
    <w:p w:rsidR="00972DA3" w:rsidRPr="00CF1D29" w:rsidRDefault="00972DA3" w:rsidP="006264A3">
      <w:pPr>
        <w:pStyle w:val="ListParagraph"/>
        <w:numPr>
          <w:ilvl w:val="0"/>
          <w:numId w:val="13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lično ime, odnosno poslovno ime zastupnika predstavništva</w:t>
      </w:r>
    </w:p>
    <w:p w:rsidR="00972DA3" w:rsidRPr="00CF1D29" w:rsidRDefault="00972DA3" w:rsidP="006264A3">
      <w:pPr>
        <w:pStyle w:val="ListParagraph"/>
        <w:numPr>
          <w:ilvl w:val="0"/>
          <w:numId w:val="13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</w:rPr>
      </w:pPr>
      <w:proofErr w:type="gramStart"/>
      <w:r w:rsidRPr="00CF1D29">
        <w:rPr>
          <w:rFonts w:cstheme="minorHAnsi"/>
          <w:sz w:val="24"/>
          <w:szCs w:val="24"/>
        </w:rPr>
        <w:t>predstavništvo</w:t>
      </w:r>
      <w:proofErr w:type="gramEnd"/>
      <w:r w:rsidRPr="00CF1D29">
        <w:rPr>
          <w:rFonts w:cstheme="minorHAnsi"/>
          <w:sz w:val="24"/>
          <w:szCs w:val="24"/>
        </w:rPr>
        <w:t xml:space="preserve"> se obavezno registruje u skladu sa zakonom o registraciji.</w:t>
      </w:r>
    </w:p>
    <w:p w:rsidR="00972DA3" w:rsidRPr="00CF1D29" w:rsidRDefault="00972DA3" w:rsidP="00972D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2DA3" w:rsidRPr="00CF1D29" w:rsidRDefault="00972DA3" w:rsidP="00972D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Propisana dokumentacija i naknada za registraciju:</w:t>
      </w:r>
    </w:p>
    <w:p w:rsidR="00972DA3" w:rsidRPr="00CF1D29" w:rsidRDefault="00972DA3" w:rsidP="006264A3">
      <w:pPr>
        <w:pStyle w:val="ListParagraph"/>
        <w:numPr>
          <w:ilvl w:val="3"/>
          <w:numId w:val="21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Jedinstvena registraciona prijava osnivanja pravnih lica i drugih subjekata i upisa u jedinstveni registar poreskih obveznika</w:t>
      </w:r>
    </w:p>
    <w:p w:rsidR="00972DA3" w:rsidRPr="00CF1D29" w:rsidRDefault="00972DA3" w:rsidP="006264A3">
      <w:pPr>
        <w:pStyle w:val="ListParagraph"/>
        <w:numPr>
          <w:ilvl w:val="3"/>
          <w:numId w:val="21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Odluku nadležnog organa stranog privrednog društva o obrazovanju predstavništva</w:t>
      </w:r>
    </w:p>
    <w:p w:rsidR="00972DA3" w:rsidRPr="00CF1D29" w:rsidRDefault="00972DA3" w:rsidP="006264A3">
      <w:pPr>
        <w:pStyle w:val="ListParagraph"/>
        <w:numPr>
          <w:ilvl w:val="3"/>
          <w:numId w:val="21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Izvod iz registra u kome je registrovano strano privredno društvo, sa prevodom overenim od strane ovlašćenog sudskog tumača</w:t>
      </w:r>
    </w:p>
    <w:p w:rsidR="00972DA3" w:rsidRPr="00CF1D29" w:rsidRDefault="00972DA3" w:rsidP="006264A3">
      <w:pPr>
        <w:pStyle w:val="ListParagraph"/>
        <w:numPr>
          <w:ilvl w:val="3"/>
          <w:numId w:val="21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Dokaz o brojevima računa preko kojih strano privredno društvo posluje</w:t>
      </w:r>
    </w:p>
    <w:p w:rsidR="00972DA3" w:rsidRPr="00CF1D29" w:rsidRDefault="00972DA3" w:rsidP="006264A3">
      <w:pPr>
        <w:pStyle w:val="ListParagraph"/>
        <w:numPr>
          <w:ilvl w:val="3"/>
          <w:numId w:val="21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Izjava ovlašćenog lica stranog privrednog društva o preuzimanju odgovornosti društva za sve obaveze koje nastanu u vezi sa poslovanjem predstavništva overena od nadležnog organa overe, sa prevodom na srpski jezik overenim od strane ovlašćenog sudskog tumača</w:t>
      </w:r>
    </w:p>
    <w:p w:rsidR="00972DA3" w:rsidRPr="00DA05E2" w:rsidRDefault="00972DA3" w:rsidP="006264A3">
      <w:pPr>
        <w:pStyle w:val="ListParagraph"/>
        <w:numPr>
          <w:ilvl w:val="3"/>
          <w:numId w:val="21"/>
        </w:numPr>
        <w:spacing w:after="0" w:line="240" w:lineRule="auto"/>
        <w:ind w:left="720" w:hanging="450"/>
        <w:jc w:val="both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>Dokaz o uplati naknade za registraciju osnivanja</w:t>
      </w:r>
    </w:p>
    <w:p w:rsidR="006264A3" w:rsidRPr="00DA05E2" w:rsidRDefault="006264A3" w:rsidP="00C27C94">
      <w:pPr>
        <w:pStyle w:val="NoSpacing"/>
        <w:rPr>
          <w:rFonts w:cstheme="minorHAnsi"/>
          <w:b/>
          <w:bCs/>
          <w:sz w:val="24"/>
          <w:szCs w:val="24"/>
          <w:lang w:val="de-CH"/>
        </w:rPr>
      </w:pPr>
    </w:p>
    <w:p w:rsidR="006264A3" w:rsidRPr="00DA05E2" w:rsidRDefault="006264A3" w:rsidP="00C27C94">
      <w:pPr>
        <w:pStyle w:val="NoSpacing"/>
        <w:rPr>
          <w:rFonts w:cstheme="minorHAnsi"/>
          <w:b/>
          <w:bCs/>
          <w:sz w:val="24"/>
          <w:szCs w:val="24"/>
          <w:lang w:val="de-CH"/>
        </w:rPr>
      </w:pPr>
    </w:p>
    <w:p w:rsidR="00E30BD7" w:rsidRPr="00DA05E2" w:rsidRDefault="006264A3" w:rsidP="00C27C94">
      <w:pPr>
        <w:pStyle w:val="NoSpacing"/>
        <w:rPr>
          <w:rFonts w:cstheme="minorHAnsi"/>
          <w:sz w:val="24"/>
          <w:szCs w:val="24"/>
          <w:u w:val="single"/>
          <w:lang w:val="de-CH"/>
        </w:rPr>
      </w:pPr>
      <w:r w:rsidRPr="00DA05E2">
        <w:rPr>
          <w:rFonts w:cstheme="minorHAnsi"/>
          <w:sz w:val="24"/>
          <w:szCs w:val="24"/>
          <w:u w:val="single"/>
          <w:lang w:val="de-CH"/>
        </w:rPr>
        <w:t>Zapošljavanje stranaca</w:t>
      </w:r>
    </w:p>
    <w:p w:rsidR="006264A3" w:rsidRPr="00DA05E2" w:rsidRDefault="006264A3" w:rsidP="00C27C94">
      <w:pPr>
        <w:pStyle w:val="NoSpacing"/>
        <w:rPr>
          <w:rFonts w:cstheme="minorHAnsi"/>
          <w:sz w:val="24"/>
          <w:szCs w:val="24"/>
          <w:lang w:val="de-CH"/>
        </w:rPr>
      </w:pPr>
    </w:p>
    <w:p w:rsidR="006264A3" w:rsidRPr="00DA05E2" w:rsidRDefault="006264A3" w:rsidP="006264A3">
      <w:pPr>
        <w:jc w:val="both"/>
        <w:rPr>
          <w:rFonts w:cstheme="minorHAnsi"/>
          <w:sz w:val="24"/>
          <w:szCs w:val="24"/>
          <w:lang w:val="de-CH"/>
        </w:rPr>
      </w:pPr>
      <w:r w:rsidRPr="00DA05E2">
        <w:rPr>
          <w:rFonts w:cstheme="minorHAnsi"/>
          <w:sz w:val="24"/>
          <w:szCs w:val="24"/>
          <w:lang w:val="de-CH"/>
        </w:rPr>
        <w:t xml:space="preserve">Stranac (svako lice koje nema državljanstvo Republike Srbije) koji se zapošljava u Republici Srbiji ima jednaka prava i obaveze u pogledu rada, zapošljavanja i samozapošljavanja kao i državljani Srbije. Uslovi za zapošljavanje stranca su posedovanje odobrenja za privremeni boravak (bez obzira na vremensko trajanje boravka) ili stalno nastanjenje i dozvole za rad. Odobrenje za privremeni boravak ili stalno nastanjenje izdaje </w:t>
      </w:r>
      <w:hyperlink r:id="rId20" w:history="1">
        <w:r w:rsidRPr="00DA05E2">
          <w:rPr>
            <w:rStyle w:val="Hyperlink"/>
            <w:rFonts w:cstheme="minorHAnsi"/>
            <w:color w:val="auto"/>
            <w:sz w:val="24"/>
            <w:szCs w:val="24"/>
            <w:lang w:val="de-CH"/>
          </w:rPr>
          <w:t>Ministarstvo unutrašnjih poslova</w:t>
        </w:r>
      </w:hyperlink>
      <w:r w:rsidRPr="00DA05E2">
        <w:rPr>
          <w:rFonts w:cstheme="minorHAnsi"/>
          <w:sz w:val="24"/>
          <w:szCs w:val="24"/>
          <w:lang w:val="de-CH"/>
        </w:rPr>
        <w:t xml:space="preserve">, dok postupak izdavanja, produženja, poništavanja i prestanka važenja dozvole za rad sprovodi </w:t>
      </w:r>
      <w:hyperlink r:id="rId21" w:history="1">
        <w:r w:rsidRPr="00DA05E2">
          <w:rPr>
            <w:rStyle w:val="Hyperlink"/>
            <w:rFonts w:cstheme="minorHAnsi"/>
            <w:color w:val="auto"/>
            <w:sz w:val="24"/>
            <w:szCs w:val="24"/>
            <w:lang w:val="de-CH"/>
          </w:rPr>
          <w:t>Nacionalna služba za zapošljavanje</w:t>
        </w:r>
      </w:hyperlink>
      <w:r w:rsidRPr="00DA05E2">
        <w:rPr>
          <w:rFonts w:cstheme="minorHAnsi"/>
          <w:sz w:val="24"/>
          <w:szCs w:val="24"/>
          <w:lang w:val="de-CH"/>
        </w:rPr>
        <w:t>.</w:t>
      </w:r>
    </w:p>
    <w:p w:rsidR="006264A3" w:rsidRPr="00CF1D29" w:rsidRDefault="006264A3" w:rsidP="006264A3">
      <w:pPr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>Dozvola za rad se može izdati kao:</w:t>
      </w:r>
    </w:p>
    <w:tbl>
      <w:tblPr>
        <w:tblStyle w:val="TableGrid"/>
        <w:tblW w:w="0" w:type="auto"/>
        <w:tblLook w:val="04A0"/>
      </w:tblPr>
      <w:tblGrid>
        <w:gridCol w:w="4516"/>
        <w:gridCol w:w="4726"/>
      </w:tblGrid>
      <w:tr w:rsidR="006264A3" w:rsidRPr="00CF1D29" w:rsidTr="009624AD">
        <w:trPr>
          <w:trHeight w:val="195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A3" w:rsidRPr="00CF1D29" w:rsidRDefault="006264A3" w:rsidP="009624A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F1D29">
              <w:rPr>
                <w:rFonts w:cstheme="minorHAnsi"/>
                <w:b/>
                <w:bCs/>
                <w:sz w:val="24"/>
                <w:szCs w:val="24"/>
              </w:rPr>
              <w:t>1. Lična radna dozvola</w:t>
            </w:r>
          </w:p>
          <w:p w:rsidR="006264A3" w:rsidRPr="00CF1D29" w:rsidRDefault="006264A3" w:rsidP="009624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1D29">
              <w:rPr>
                <w:rFonts w:cstheme="minorHAnsi"/>
                <w:sz w:val="24"/>
                <w:szCs w:val="24"/>
              </w:rPr>
              <w:t>Izdaje se na zahtev stranca ako ima:</w:t>
            </w:r>
          </w:p>
          <w:p w:rsidR="006264A3" w:rsidRPr="00CF1D29" w:rsidRDefault="006264A3" w:rsidP="009624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1D29">
              <w:rPr>
                <w:rFonts w:cstheme="minorHAnsi"/>
                <w:sz w:val="24"/>
                <w:szCs w:val="24"/>
              </w:rPr>
              <w:t>odobrenje za stalno nastanjenje,</w:t>
            </w:r>
          </w:p>
          <w:p w:rsidR="006264A3" w:rsidRPr="00CF1D29" w:rsidRDefault="006264A3" w:rsidP="009624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1D29">
              <w:rPr>
                <w:rFonts w:cstheme="minorHAnsi"/>
                <w:sz w:val="24"/>
                <w:szCs w:val="24"/>
              </w:rPr>
              <w:t>status izbeglice,</w:t>
            </w:r>
          </w:p>
          <w:p w:rsidR="006264A3" w:rsidRPr="00CF1D29" w:rsidRDefault="006264A3" w:rsidP="009624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1D29">
              <w:rPr>
                <w:rFonts w:cstheme="minorHAnsi"/>
                <w:sz w:val="24"/>
                <w:szCs w:val="24"/>
              </w:rPr>
              <w:t>pripada posebnoj kategoriji stranca,</w:t>
            </w:r>
          </w:p>
          <w:p w:rsidR="006264A3" w:rsidRPr="00CF1D29" w:rsidRDefault="006264A3" w:rsidP="009624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1D29">
              <w:rPr>
                <w:rFonts w:cstheme="minorHAnsi"/>
                <w:sz w:val="24"/>
                <w:szCs w:val="24"/>
              </w:rPr>
              <w:t>u slučajevima utvrđenim međunarodnim ugovorom,</w:t>
            </w:r>
          </w:p>
          <w:p w:rsidR="006264A3" w:rsidRPr="00CF1D29" w:rsidRDefault="006264A3" w:rsidP="009624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CF1D29">
              <w:rPr>
                <w:rFonts w:cstheme="minorHAnsi"/>
                <w:sz w:val="24"/>
                <w:szCs w:val="24"/>
              </w:rPr>
              <w:t>radi</w:t>
            </w:r>
            <w:proofErr w:type="gramEnd"/>
            <w:r w:rsidRPr="00CF1D29">
              <w:rPr>
                <w:rFonts w:cstheme="minorHAnsi"/>
                <w:sz w:val="24"/>
                <w:szCs w:val="24"/>
              </w:rPr>
              <w:t xml:space="preserve"> spajanja porodice.</w:t>
            </w:r>
          </w:p>
          <w:p w:rsidR="006264A3" w:rsidRPr="00CF1D29" w:rsidRDefault="006264A3" w:rsidP="009624A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A3" w:rsidRPr="00CF1D29" w:rsidRDefault="006264A3" w:rsidP="009624A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F1D29">
              <w:rPr>
                <w:rFonts w:cstheme="minorHAnsi"/>
                <w:b/>
                <w:bCs/>
                <w:sz w:val="24"/>
                <w:szCs w:val="24"/>
              </w:rPr>
              <w:t>2. Radna dozvola</w:t>
            </w:r>
          </w:p>
          <w:p w:rsidR="006264A3" w:rsidRPr="00CF1D29" w:rsidRDefault="006264A3" w:rsidP="009624A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1D29">
              <w:rPr>
                <w:rFonts w:cstheme="minorHAnsi"/>
                <w:sz w:val="24"/>
                <w:szCs w:val="24"/>
              </w:rPr>
              <w:t>radna dozvola za zapošljavanje;</w:t>
            </w:r>
          </w:p>
          <w:p w:rsidR="006264A3" w:rsidRPr="00CF1D29" w:rsidRDefault="006264A3" w:rsidP="009624A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1D29">
              <w:rPr>
                <w:rFonts w:cstheme="minorHAnsi"/>
                <w:sz w:val="24"/>
                <w:szCs w:val="24"/>
              </w:rPr>
              <w:t>radna dozvola za posebne slučajeve zapošljavanja - upućena lica, kretanje u okviru privrednog društva, nezavisni profesionalci;</w:t>
            </w:r>
          </w:p>
          <w:p w:rsidR="006264A3" w:rsidRPr="00CF1D29" w:rsidRDefault="006264A3" w:rsidP="009624A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CF1D29">
              <w:rPr>
                <w:rFonts w:cstheme="minorHAnsi"/>
                <w:sz w:val="24"/>
                <w:szCs w:val="24"/>
              </w:rPr>
              <w:t>radna</w:t>
            </w:r>
            <w:proofErr w:type="gramEnd"/>
            <w:r w:rsidRPr="00CF1D29">
              <w:rPr>
                <w:rFonts w:cstheme="minorHAnsi"/>
                <w:sz w:val="24"/>
                <w:szCs w:val="24"/>
              </w:rPr>
              <w:t xml:space="preserve"> dozvola za samozapošljavanje.</w:t>
            </w:r>
          </w:p>
          <w:p w:rsidR="006264A3" w:rsidRPr="00CF1D29" w:rsidRDefault="006264A3" w:rsidP="009624A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F1D29">
              <w:rPr>
                <w:rFonts w:cstheme="minorHAnsi"/>
                <w:sz w:val="24"/>
                <w:szCs w:val="24"/>
              </w:rPr>
              <w:t>Stranac sa radnom dozvolom može u Republici Srbiji da obavlja samo poslove za koje je dobio dozvolu.</w:t>
            </w:r>
          </w:p>
        </w:tc>
      </w:tr>
    </w:tbl>
    <w:p w:rsidR="006264A3" w:rsidRPr="00CF1D29" w:rsidRDefault="006264A3" w:rsidP="006264A3">
      <w:pPr>
        <w:jc w:val="both"/>
        <w:rPr>
          <w:rFonts w:cstheme="minorHAnsi"/>
          <w:sz w:val="24"/>
          <w:szCs w:val="24"/>
        </w:rPr>
      </w:pPr>
    </w:p>
    <w:p w:rsidR="006264A3" w:rsidRPr="00CF1D29" w:rsidRDefault="006264A3" w:rsidP="006264A3">
      <w:pPr>
        <w:jc w:val="both"/>
        <w:rPr>
          <w:rFonts w:cstheme="minorHAnsi"/>
          <w:sz w:val="24"/>
          <w:szCs w:val="24"/>
        </w:rPr>
      </w:pPr>
      <w:r w:rsidRPr="00CF1D29">
        <w:rPr>
          <w:rFonts w:cstheme="minorHAnsi"/>
          <w:sz w:val="24"/>
          <w:szCs w:val="24"/>
        </w:rPr>
        <w:t xml:space="preserve">Zakonom su propisani slučajevi u kojima se uslovi za zapošljavanje stranaca na primenjuju (na stranca čiji boravak u Republici Srbiji ne traje duže od 90 dana u roku od šest meseci od </w:t>
      </w:r>
      <w:r w:rsidRPr="00CF1D29">
        <w:rPr>
          <w:rFonts w:cstheme="minorHAnsi"/>
          <w:sz w:val="24"/>
          <w:szCs w:val="24"/>
        </w:rPr>
        <w:lastRenderedPageBreak/>
        <w:t>dana prvog ulaska u Srbiju, i to na stranca koji: je vlasnik, osnivač, zastupnik ili član organa pravnog lica registrovanog u Srbiji, ako nije u radnom odnosu u tom pravnom licu; u Srbiji boravi radi uspostavljanja poslovnih kontakata ili prisustvovanja poslovnim sastancima i koji, bez ostvarivanja prihoda u Srbiji, obavlja druge poslovne aktivnosti koje se odnose na pripremu stranog poslodavca da uspostavi prisustvo i otpočne sa radom u Srbiji; je upućeno lice koje u Srbiji izvodi radove na osnovu ugovora o nabavci robe, nabavci ili zakupu mašina ili opreme i njene isporuke, instaliranja, montaže, opravke ili obučavanja zarad na tim mašinama ili opremi i dr.).</w:t>
      </w:r>
    </w:p>
    <w:p w:rsidR="00F104BB" w:rsidRPr="00CF1D29" w:rsidRDefault="00F104BB" w:rsidP="00F104BB">
      <w:pPr>
        <w:pStyle w:val="NoSpacing"/>
        <w:pageBreakBefore/>
        <w:rPr>
          <w:rFonts w:cstheme="minorHAnsi"/>
          <w:b/>
          <w:bCs/>
          <w:sz w:val="24"/>
          <w:szCs w:val="24"/>
        </w:rPr>
      </w:pPr>
      <w:bookmarkStart w:id="32" w:name="_Hlk45475728"/>
      <w:proofErr w:type="gramStart"/>
      <w:r w:rsidRPr="00CF1D29">
        <w:rPr>
          <w:rFonts w:cstheme="minorHAnsi"/>
          <w:b/>
          <w:bCs/>
          <w:sz w:val="24"/>
          <w:szCs w:val="24"/>
        </w:rPr>
        <w:lastRenderedPageBreak/>
        <w:t>Prilog 2.</w:t>
      </w:r>
      <w:proofErr w:type="gramEnd"/>
      <w:r w:rsidRPr="00CF1D29">
        <w:rPr>
          <w:rFonts w:cstheme="minorHAnsi"/>
          <w:b/>
          <w:bCs/>
          <w:sz w:val="24"/>
          <w:szCs w:val="24"/>
        </w:rPr>
        <w:t xml:space="preserve"> Investicione mogućnosti</w:t>
      </w:r>
    </w:p>
    <w:p w:rsidR="00F104BB" w:rsidRPr="00CF1D29" w:rsidRDefault="00F104BB" w:rsidP="00F104BB">
      <w:pPr>
        <w:pStyle w:val="NoSpacing"/>
        <w:rPr>
          <w:rFonts w:cstheme="minorHAnsi"/>
          <w:sz w:val="24"/>
          <w:szCs w:val="24"/>
        </w:rPr>
      </w:pPr>
    </w:p>
    <w:bookmarkEnd w:id="32"/>
    <w:p w:rsidR="00F104BB" w:rsidRPr="00DA05E2" w:rsidRDefault="00F104BB" w:rsidP="00F104BB">
      <w:pPr>
        <w:pStyle w:val="NoSpacing"/>
        <w:rPr>
          <w:rFonts w:cstheme="minorHAnsi"/>
          <w:sz w:val="24"/>
          <w:szCs w:val="24"/>
          <w:lang w:val="de-CH"/>
        </w:rPr>
      </w:pPr>
    </w:p>
    <w:tbl>
      <w:tblPr>
        <w:tblW w:w="87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80"/>
        <w:gridCol w:w="5910"/>
      </w:tblGrid>
      <w:tr w:rsidR="00F104BB" w:rsidRPr="00CF1D29" w:rsidTr="009624AD">
        <w:tc>
          <w:tcPr>
            <w:tcW w:w="8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F104BB" w:rsidRPr="00CF1D29" w:rsidRDefault="00F104BB" w:rsidP="009624A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Upitnik za potencijalnu investiciju</w:t>
            </w:r>
          </w:p>
        </w:tc>
      </w:tr>
      <w:tr w:rsidR="00F104BB" w:rsidRPr="00CF1D29" w:rsidTr="009624AD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04BB" w:rsidRPr="00CF1D29" w:rsidRDefault="00F104BB" w:rsidP="009624AD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Opština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4BB" w:rsidRPr="006146DD" w:rsidRDefault="00341DB6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b/>
                <w:i/>
                <w:iCs/>
                <w:szCs w:val="24"/>
              </w:rPr>
              <w:t>Grad Vranje</w:t>
            </w:r>
          </w:p>
        </w:tc>
      </w:tr>
      <w:tr w:rsidR="00F104BB" w:rsidRPr="00CF1D29" w:rsidTr="009624AD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04BB" w:rsidRPr="00CF1D29" w:rsidRDefault="00F104BB" w:rsidP="009624AD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Naziv investicione mogućnosti/projekta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1DB6" w:rsidRPr="00A343D8" w:rsidRDefault="00140624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i/>
                <w:iCs/>
                <w:color w:val="7030A0"/>
                <w:szCs w:val="24"/>
              </w:rPr>
            </w:pPr>
            <w:r w:rsidRPr="006146DD">
              <w:rPr>
                <w:rFonts w:asciiTheme="minorHAnsi" w:hAnsiTheme="minorHAnsi" w:cstheme="minorHAnsi"/>
                <w:b/>
                <w:i/>
                <w:iCs/>
                <w:szCs w:val="24"/>
              </w:rPr>
              <w:t>Investiranje na prostoru Slobodne zone Vranje - greenfield</w:t>
            </w:r>
          </w:p>
        </w:tc>
      </w:tr>
      <w:tr w:rsidR="00F104BB" w:rsidRPr="00CF1D29" w:rsidTr="009624AD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04BB" w:rsidRPr="00CF1D29" w:rsidRDefault="00F104BB" w:rsidP="009624AD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Opis investicije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4BB" w:rsidRPr="006146DD" w:rsidRDefault="00140624" w:rsidP="00805D1F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Slobodna zona u Vranju se prostire na preko 100ha grinfild lokacija u vlasništvu grada, dok je braunfild kapacitet površine oko 48.000m2 u okviru Jumka, u nadležnosti Republičke direkcije za imovinu.</w:t>
            </w:r>
          </w:p>
          <w:p w:rsidR="00140624" w:rsidRPr="006146DD" w:rsidRDefault="00140624" w:rsidP="00805D1F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Invest</w:t>
            </w:r>
            <w:r w:rsidR="001E6A75" w:rsidRPr="006146DD">
              <w:rPr>
                <w:rFonts w:asciiTheme="minorHAnsi" w:hAnsiTheme="minorHAnsi" w:cstheme="minorHAnsi"/>
                <w:i/>
                <w:iCs/>
                <w:szCs w:val="24"/>
              </w:rPr>
              <w:t>itorima su na raspolaganju infrastrukturno opremljene raspoložive lokacije, na prostoru PDR Bunuševac – oko 7ha I PDR Bunuševac 2 – oko 25ha.</w:t>
            </w:r>
          </w:p>
          <w:p w:rsidR="002E1702" w:rsidRPr="006146DD" w:rsidRDefault="002E1702" w:rsidP="00805D1F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U skladu sa potrebama investitora, kroz projekte parcelacije i preparcelacije je moguće formirati jedinstvenu investicionu i građevinsku parcelu potrebnog oblika i dispozicije</w:t>
            </w:r>
          </w:p>
          <w:p w:rsidR="001E6A75" w:rsidRPr="00CF1D29" w:rsidRDefault="001E6A75" w:rsidP="00805D1F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color w:val="3366FF"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Predstoji infrastrukturno zaokružavanje </w:t>
            </w:r>
            <w:r w:rsidR="002E1702" w:rsidRPr="006146DD">
              <w:rPr>
                <w:rFonts w:asciiTheme="minorHAnsi" w:hAnsiTheme="minorHAnsi" w:cstheme="minorHAnsi"/>
                <w:i/>
                <w:iCs/>
                <w:szCs w:val="24"/>
              </w:rPr>
              <w:t>površine od oko 50ha ukupno (PDR Bunuševac 3 I PDR Bunuševac 4)</w:t>
            </w:r>
          </w:p>
        </w:tc>
      </w:tr>
      <w:tr w:rsidR="00F104BB" w:rsidRPr="00CF1D29" w:rsidTr="009624AD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04BB" w:rsidRPr="00CF1D29" w:rsidRDefault="00F104BB" w:rsidP="009624AD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Postojeća dokumentacija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5D1F" w:rsidRPr="006146DD" w:rsidRDefault="002E1702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Izrađen i usvojen Prostorni plan grada Vranja</w:t>
            </w:r>
          </w:p>
          <w:p w:rsidR="002E1702" w:rsidRPr="00CF1D29" w:rsidRDefault="002E1702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color w:val="3366FF"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Izrađeni I usvojeni Planovi detaljne regulacije</w:t>
            </w:r>
          </w:p>
        </w:tc>
      </w:tr>
      <w:tr w:rsidR="00F104BB" w:rsidRPr="00CF1D29" w:rsidTr="009624AD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04BB" w:rsidRPr="00CF1D29" w:rsidRDefault="00F104BB" w:rsidP="009624AD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Vlasnički status potencijalne investi</w:t>
            </w:r>
            <w:r w:rsidR="00C04E91" w:rsidRPr="00CF1D29">
              <w:rPr>
                <w:rFonts w:asciiTheme="minorHAnsi" w:hAnsiTheme="minorHAnsi" w:cstheme="minorHAnsi"/>
                <w:b/>
                <w:szCs w:val="24"/>
              </w:rPr>
              <w:t>c</w:t>
            </w:r>
            <w:r w:rsidRPr="00CF1D29">
              <w:rPr>
                <w:rFonts w:asciiTheme="minorHAnsi" w:hAnsiTheme="minorHAnsi" w:cstheme="minorHAnsi"/>
                <w:b/>
                <w:szCs w:val="24"/>
              </w:rPr>
              <w:t xml:space="preserve">ije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4BB" w:rsidRPr="006146DD" w:rsidRDefault="00805D1F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Grad Vranje</w:t>
            </w:r>
          </w:p>
        </w:tc>
      </w:tr>
      <w:tr w:rsidR="00F104BB" w:rsidRPr="00CF1D29" w:rsidTr="009624AD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04BB" w:rsidRPr="00CF1D29" w:rsidRDefault="00F104BB" w:rsidP="009624AD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Oblik sticanja prava korišćenja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4BB" w:rsidRDefault="002E1702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Prodaja i zakup u skladu sa propisima koji uređuju ovu oblast</w:t>
            </w:r>
            <w:r w:rsidR="001A786C" w:rsidRPr="006146DD">
              <w:rPr>
                <w:rFonts w:asciiTheme="minorHAnsi" w:hAnsiTheme="minorHAnsi" w:cstheme="minorHAnsi"/>
                <w:i/>
                <w:iCs/>
                <w:szCs w:val="24"/>
              </w:rPr>
              <w:t>. Prema proceni Poreske uprave, cena zemljišta za otuđenje je oko 13EUR/m2</w:t>
            </w:r>
          </w:p>
          <w:p w:rsidR="00E2525E" w:rsidRPr="006146DD" w:rsidRDefault="00E2525E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  <w:tr w:rsidR="00F104BB" w:rsidRPr="00CF1D29" w:rsidTr="009624AD">
        <w:tc>
          <w:tcPr>
            <w:tcW w:w="28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04BB" w:rsidRPr="00CF1D29" w:rsidRDefault="00F104BB" w:rsidP="009624AD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Procenjena vrednost investicije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4BB" w:rsidRDefault="002E1702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U zavisno</w:t>
            </w:r>
            <w:r w:rsidR="001A786C" w:rsidRPr="006146DD">
              <w:rPr>
                <w:rFonts w:asciiTheme="minorHAnsi" w:hAnsiTheme="minorHAnsi" w:cstheme="minorHAnsi"/>
                <w:i/>
                <w:iCs/>
                <w:szCs w:val="24"/>
              </w:rPr>
              <w:t>s</w:t>
            </w: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ti od investicione namere konkretnog investitora</w:t>
            </w:r>
          </w:p>
          <w:p w:rsidR="00E2525E" w:rsidRDefault="00E2525E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  <w:p w:rsidR="00E2525E" w:rsidRPr="006146DD" w:rsidRDefault="00E2525E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  <w:tr w:rsidR="00F104BB" w:rsidRPr="00CF1D29" w:rsidTr="009624AD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BB" w:rsidRPr="00CF1D29" w:rsidRDefault="00F104BB" w:rsidP="009624AD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Postojeća infrastruktura</w:t>
            </w:r>
          </w:p>
        </w:tc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F104BB" w:rsidRDefault="002E1702" w:rsidP="002E1702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Pristupne saobraćajnice, uključujući izgrađenu Obilaznicu do Slobodne zone, vodovodna mreža, atmosferska </w:t>
            </w:r>
            <w:r w:rsidR="001A786C" w:rsidRPr="006146DD">
              <w:rPr>
                <w:rFonts w:asciiTheme="minorHAnsi" w:hAnsiTheme="minorHAnsi" w:cstheme="minorHAnsi"/>
                <w:i/>
                <w:iCs/>
                <w:szCs w:val="24"/>
              </w:rPr>
              <w:t>i</w:t>
            </w: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 fekalna kanalizacija, elektroenergetski </w:t>
            </w:r>
            <w:r w:rsidR="001A786C" w:rsidRPr="006146DD">
              <w:rPr>
                <w:rFonts w:asciiTheme="minorHAnsi" w:hAnsiTheme="minorHAnsi" w:cstheme="minorHAnsi"/>
                <w:i/>
                <w:iCs/>
                <w:szCs w:val="24"/>
              </w:rPr>
              <w:t>i</w:t>
            </w: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 IKT kapaciteti</w:t>
            </w:r>
          </w:p>
          <w:p w:rsidR="00E2525E" w:rsidRPr="006146DD" w:rsidRDefault="00E2525E" w:rsidP="002E1702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  <w:tr w:rsidR="00F104BB" w:rsidRPr="00CF1D29" w:rsidTr="00E2525E">
        <w:trPr>
          <w:trHeight w:val="14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BB" w:rsidRPr="00CF1D29" w:rsidRDefault="00F104BB" w:rsidP="009624AD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Saobraćajna povezanost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BB" w:rsidRPr="006146DD" w:rsidRDefault="002E1702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Pristupne saobraćajnice, uključujući izgrađenu Obilaznicu do Slobodne zone</w:t>
            </w:r>
          </w:p>
        </w:tc>
      </w:tr>
      <w:tr w:rsidR="00F104BB" w:rsidRPr="00CF1D29" w:rsidTr="00E2525E">
        <w:trPr>
          <w:trHeight w:val="1447"/>
        </w:trPr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04BB" w:rsidRPr="00CF1D29" w:rsidRDefault="00F104BB" w:rsidP="009624AD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lastRenderedPageBreak/>
              <w:t>Ostale informacije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86C" w:rsidRDefault="001A786C" w:rsidP="009624AD">
            <w:pPr>
              <w:pStyle w:val="TableContents"/>
              <w:snapToGrid w:val="0"/>
              <w:jc w:val="both"/>
            </w:pPr>
          </w:p>
          <w:p w:rsidR="001A786C" w:rsidRDefault="001A786C" w:rsidP="009624AD">
            <w:pPr>
              <w:pStyle w:val="TableContents"/>
              <w:snapToGrid w:val="0"/>
              <w:jc w:val="both"/>
            </w:pPr>
          </w:p>
          <w:p w:rsidR="00F104BB" w:rsidRPr="00CF1D29" w:rsidRDefault="002E1702" w:rsidP="009624A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color w:val="3366FF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171950" cy="2228850"/>
                  <wp:effectExtent l="19050" t="0" r="0" b="0"/>
                  <wp:docPr id="13" name="Picture 13" descr="satelitski snimak slobodne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atelitski snimak slobodne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4A3" w:rsidRDefault="006264A3" w:rsidP="00C27C94">
      <w:pPr>
        <w:pStyle w:val="NoSpacing"/>
        <w:rPr>
          <w:rFonts w:cstheme="minorHAnsi"/>
          <w:sz w:val="24"/>
          <w:szCs w:val="24"/>
        </w:rPr>
      </w:pPr>
    </w:p>
    <w:p w:rsidR="00140624" w:rsidRDefault="00140624" w:rsidP="00C27C94">
      <w:pPr>
        <w:pStyle w:val="NoSpacing"/>
        <w:rPr>
          <w:rFonts w:cstheme="minorHAnsi"/>
          <w:sz w:val="24"/>
          <w:szCs w:val="24"/>
        </w:rPr>
      </w:pPr>
    </w:p>
    <w:p w:rsidR="00140624" w:rsidRDefault="00140624" w:rsidP="00C27C94">
      <w:pPr>
        <w:pStyle w:val="NoSpacing"/>
        <w:rPr>
          <w:rFonts w:cstheme="minorHAnsi"/>
          <w:sz w:val="24"/>
          <w:szCs w:val="24"/>
        </w:rPr>
      </w:pPr>
    </w:p>
    <w:p w:rsidR="00140624" w:rsidRDefault="00140624" w:rsidP="00C27C94">
      <w:pPr>
        <w:pStyle w:val="NoSpacing"/>
        <w:rPr>
          <w:rFonts w:cstheme="minorHAnsi"/>
          <w:sz w:val="24"/>
          <w:szCs w:val="24"/>
        </w:rPr>
      </w:pPr>
    </w:p>
    <w:p w:rsidR="00140624" w:rsidRDefault="00140624" w:rsidP="00C27C94">
      <w:pPr>
        <w:pStyle w:val="NoSpacing"/>
        <w:rPr>
          <w:rFonts w:cstheme="minorHAnsi"/>
          <w:sz w:val="24"/>
          <w:szCs w:val="24"/>
        </w:rPr>
      </w:pPr>
    </w:p>
    <w:p w:rsidR="00A343D8" w:rsidRDefault="00A343D8" w:rsidP="00C27C94">
      <w:pPr>
        <w:pStyle w:val="NoSpacing"/>
        <w:rPr>
          <w:rFonts w:cstheme="minorHAnsi"/>
          <w:sz w:val="24"/>
          <w:szCs w:val="24"/>
        </w:rPr>
      </w:pPr>
    </w:p>
    <w:p w:rsidR="00A343D8" w:rsidRDefault="00A343D8" w:rsidP="00C27C94">
      <w:pPr>
        <w:pStyle w:val="NoSpacing"/>
        <w:rPr>
          <w:rFonts w:cstheme="minorHAnsi"/>
          <w:sz w:val="24"/>
          <w:szCs w:val="24"/>
        </w:rPr>
      </w:pPr>
    </w:p>
    <w:p w:rsidR="00140624" w:rsidRDefault="00140624" w:rsidP="00C27C94">
      <w:pPr>
        <w:pStyle w:val="NoSpacing"/>
        <w:rPr>
          <w:rFonts w:cstheme="minorHAnsi"/>
          <w:sz w:val="24"/>
          <w:szCs w:val="24"/>
        </w:rPr>
      </w:pPr>
    </w:p>
    <w:tbl>
      <w:tblPr>
        <w:tblW w:w="87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80"/>
        <w:gridCol w:w="5910"/>
      </w:tblGrid>
      <w:tr w:rsidR="001A786C" w:rsidRPr="00CF1D29" w:rsidTr="00E26679">
        <w:tc>
          <w:tcPr>
            <w:tcW w:w="8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1A786C" w:rsidRPr="00CF1D29" w:rsidRDefault="001A786C" w:rsidP="00E2667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Upitnik za potencijalnu investiciju</w:t>
            </w:r>
          </w:p>
        </w:tc>
      </w:tr>
      <w:tr w:rsidR="001A786C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86C" w:rsidRPr="00CF1D29" w:rsidRDefault="001A786C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Opština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86C" w:rsidRPr="006146DD" w:rsidRDefault="001A786C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b/>
                <w:i/>
                <w:iCs/>
                <w:szCs w:val="24"/>
              </w:rPr>
              <w:t>Grad Vranje</w:t>
            </w:r>
          </w:p>
        </w:tc>
      </w:tr>
      <w:tr w:rsidR="001A786C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86C" w:rsidRPr="00CF1D29" w:rsidRDefault="001A786C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Naziv investicione mogućnosti/projekta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86C" w:rsidRPr="006146DD" w:rsidRDefault="001A786C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b/>
                <w:i/>
                <w:iCs/>
                <w:szCs w:val="24"/>
              </w:rPr>
              <w:t>Investiranje na prostoru Slobodne zone Vranje - Brownfield</w:t>
            </w:r>
          </w:p>
        </w:tc>
      </w:tr>
      <w:tr w:rsidR="001A786C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86C" w:rsidRPr="00CF1D29" w:rsidRDefault="001A786C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Opis investicije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86C" w:rsidRPr="006146DD" w:rsidRDefault="00100981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B</w:t>
            </w:r>
            <w:r w:rsidR="001A786C"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raunfild kapacitet površine oko 48.000m2 u okviru </w:t>
            </w: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Yumka</w:t>
            </w:r>
            <w:r w:rsidR="001A786C"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, </w:t>
            </w: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se nalazi </w:t>
            </w:r>
            <w:r w:rsidR="001A786C" w:rsidRPr="006146DD">
              <w:rPr>
                <w:rFonts w:asciiTheme="minorHAnsi" w:hAnsiTheme="minorHAnsi" w:cstheme="minorHAnsi"/>
                <w:i/>
                <w:iCs/>
                <w:szCs w:val="24"/>
              </w:rPr>
              <w:t>u nadležnosti Republičke direkcije za imovinu.</w:t>
            </w:r>
          </w:p>
          <w:p w:rsidR="00100981" w:rsidRPr="006146DD" w:rsidRDefault="00100981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Kapacitet je pod jedinstvenim krovom, I sadrži nekoliko funkcionalnih celina. </w:t>
            </w:r>
          </w:p>
          <w:p w:rsidR="001A786C" w:rsidRPr="006146DD" w:rsidRDefault="00100981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Starost objekta </w:t>
            </w:r>
            <w:r w:rsidR="00A343D8" w:rsidRPr="006146DD">
              <w:rPr>
                <w:rFonts w:asciiTheme="minorHAnsi" w:hAnsiTheme="minorHAnsi" w:cstheme="minorHAnsi"/>
                <w:i/>
                <w:iCs/>
                <w:szCs w:val="24"/>
              </w:rPr>
              <w:t>i</w:t>
            </w: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 uticaj vremena su se reflektovali </w:t>
            </w:r>
            <w:r w:rsidR="00A343D8" w:rsidRPr="006146DD">
              <w:rPr>
                <w:rFonts w:asciiTheme="minorHAnsi" w:hAnsiTheme="minorHAnsi" w:cstheme="minorHAnsi"/>
                <w:i/>
                <w:iCs/>
                <w:szCs w:val="24"/>
              </w:rPr>
              <w:t>i</w:t>
            </w: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 na stanje objekta, posebno krova, instalacija, podova </w:t>
            </w:r>
            <w:r w:rsidR="00A343D8" w:rsidRPr="006146DD">
              <w:rPr>
                <w:rFonts w:asciiTheme="minorHAnsi" w:hAnsiTheme="minorHAnsi" w:cstheme="minorHAnsi"/>
                <w:i/>
                <w:iCs/>
                <w:szCs w:val="24"/>
              </w:rPr>
              <w:t>i</w:t>
            </w: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 unutrašnjih zidova</w:t>
            </w:r>
            <w:r w:rsidR="00A343D8"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 (neophodna sanacija i adaptacija)</w:t>
            </w:r>
          </w:p>
        </w:tc>
      </w:tr>
      <w:tr w:rsidR="001A786C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86C" w:rsidRPr="00CF1D29" w:rsidRDefault="001A786C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Postojeća dokumentacija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0981" w:rsidRPr="006146DD" w:rsidRDefault="00100981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Izrađen i usvojen Generalni urbanistički plan Vranja</w:t>
            </w:r>
          </w:p>
          <w:p w:rsidR="001A786C" w:rsidRPr="006146DD" w:rsidRDefault="00100981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 xml:space="preserve">Glavni projekat za izgradnju fabrike Yumko (čiji je braunfild objekat itegrativni deo) </w:t>
            </w:r>
          </w:p>
        </w:tc>
      </w:tr>
      <w:tr w:rsidR="001A786C" w:rsidRPr="00100981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86C" w:rsidRPr="00CF1D29" w:rsidRDefault="001A786C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 xml:space="preserve">Vlasnički status potencijalne investicije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86C" w:rsidRPr="006146DD" w:rsidRDefault="00100981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  <w:lang w:val="de-CH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  <w:lang w:val="de-CH"/>
              </w:rPr>
              <w:t>Republika Srbija – Republička direkcija za imovinu</w:t>
            </w:r>
          </w:p>
        </w:tc>
      </w:tr>
      <w:tr w:rsidR="001A786C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86C" w:rsidRPr="00CF1D29" w:rsidRDefault="001A786C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Oblik sticanja prava korišćenja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86C" w:rsidRPr="006146DD" w:rsidRDefault="001A786C" w:rsidP="0010098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Prodaja i zakup u skladu sa propisima koji uređuju ovu oblast</w:t>
            </w:r>
            <w:r w:rsidR="00100981" w:rsidRPr="006146DD">
              <w:rPr>
                <w:rFonts w:asciiTheme="minorHAnsi" w:hAnsiTheme="minorHAnsi" w:cstheme="minorHAnsi"/>
                <w:i/>
                <w:iCs/>
                <w:szCs w:val="24"/>
              </w:rPr>
              <w:t>, kao i Ugovorom sa Republičkom direkcijom za imovinu</w:t>
            </w:r>
          </w:p>
        </w:tc>
      </w:tr>
      <w:tr w:rsidR="001A786C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A786C" w:rsidRPr="00CF1D29" w:rsidRDefault="001A786C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Procenjena vrednost investicije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86C" w:rsidRPr="006146DD" w:rsidRDefault="001A786C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U zavisnosti od investicione namere konkretnog investitora</w:t>
            </w:r>
          </w:p>
        </w:tc>
      </w:tr>
      <w:tr w:rsidR="001A786C" w:rsidRPr="00CF1D29" w:rsidTr="00E26679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6C" w:rsidRPr="00CF1D29" w:rsidRDefault="001A786C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lastRenderedPageBreak/>
              <w:t>Postojeća infrastruktura</w:t>
            </w:r>
          </w:p>
        </w:tc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A786C" w:rsidRPr="006146DD" w:rsidRDefault="00100981" w:rsidP="0010098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Pristupne saobraćajnice</w:t>
            </w:r>
            <w:r w:rsidR="001A786C" w:rsidRPr="006146DD">
              <w:rPr>
                <w:rFonts w:asciiTheme="minorHAnsi" w:hAnsiTheme="minorHAnsi" w:cstheme="minorHAnsi"/>
                <w:i/>
                <w:iCs/>
                <w:szCs w:val="24"/>
              </w:rPr>
              <w:t>, vodovodna mreža, atmosferska i fekalna kanalizacija, elektroenergetski i IKT kapaciteti</w:t>
            </w:r>
          </w:p>
        </w:tc>
      </w:tr>
      <w:tr w:rsidR="001A786C" w:rsidRPr="00CF1D29" w:rsidTr="00E2667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6C" w:rsidRPr="00CF1D29" w:rsidRDefault="001A786C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Saobraćajna povezanost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6C" w:rsidRPr="006146DD" w:rsidRDefault="001A786C" w:rsidP="0010098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146DD">
              <w:rPr>
                <w:rFonts w:asciiTheme="minorHAnsi" w:hAnsiTheme="minorHAnsi" w:cstheme="minorHAnsi"/>
                <w:i/>
                <w:iCs/>
                <w:szCs w:val="24"/>
              </w:rPr>
              <w:t>Pristupne saobraćajnice</w:t>
            </w:r>
            <w:r w:rsidR="00100981" w:rsidRPr="006146DD">
              <w:rPr>
                <w:rFonts w:asciiTheme="minorHAnsi" w:hAnsiTheme="minorHAnsi" w:cstheme="minorHAnsi"/>
                <w:i/>
                <w:iCs/>
                <w:szCs w:val="24"/>
              </w:rPr>
              <w:t>, neposredna blizina Koridora 10</w:t>
            </w:r>
          </w:p>
        </w:tc>
      </w:tr>
      <w:tr w:rsidR="001A786C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86C" w:rsidRPr="00CF1D29" w:rsidRDefault="001A786C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Ostale informacije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43D8" w:rsidRPr="00A343D8" w:rsidRDefault="00A343D8" w:rsidP="00E26679">
            <w:pPr>
              <w:pStyle w:val="TableContents"/>
              <w:snapToGrid w:val="0"/>
              <w:jc w:val="both"/>
            </w:pPr>
            <w:r w:rsidRPr="00A343D8">
              <w:rPr>
                <w:noProof/>
                <w:lang w:eastAsia="en-US"/>
              </w:rPr>
              <w:drawing>
                <wp:inline distT="0" distB="0" distL="0" distR="0">
                  <wp:extent cx="2971800" cy="2143125"/>
                  <wp:effectExtent l="19050" t="0" r="0" b="0"/>
                  <wp:docPr id="15" name="Picture 2" descr="situacija satelit slobodna zo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situacija satelit slobodna z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290" cy="214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624" w:rsidRDefault="00140624" w:rsidP="00C27C94">
      <w:pPr>
        <w:pStyle w:val="NoSpacing"/>
        <w:rPr>
          <w:rFonts w:cstheme="minorHAnsi"/>
          <w:sz w:val="24"/>
          <w:szCs w:val="24"/>
        </w:rPr>
      </w:pPr>
    </w:p>
    <w:p w:rsidR="00E2525E" w:rsidRDefault="00E2525E" w:rsidP="00C27C94">
      <w:pPr>
        <w:pStyle w:val="NoSpacing"/>
        <w:rPr>
          <w:rFonts w:cstheme="minorHAnsi"/>
          <w:sz w:val="24"/>
          <w:szCs w:val="24"/>
        </w:rPr>
      </w:pPr>
    </w:p>
    <w:p w:rsidR="00E2525E" w:rsidRDefault="00E2525E" w:rsidP="00C27C94">
      <w:pPr>
        <w:pStyle w:val="NoSpacing"/>
        <w:rPr>
          <w:rFonts w:cstheme="minorHAnsi"/>
          <w:sz w:val="24"/>
          <w:szCs w:val="24"/>
        </w:rPr>
      </w:pPr>
    </w:p>
    <w:p w:rsidR="00E2525E" w:rsidRDefault="00E2525E" w:rsidP="00C27C94">
      <w:pPr>
        <w:pStyle w:val="NoSpacing"/>
        <w:rPr>
          <w:rFonts w:cstheme="minorHAnsi"/>
          <w:sz w:val="24"/>
          <w:szCs w:val="24"/>
        </w:rPr>
      </w:pPr>
    </w:p>
    <w:p w:rsidR="00E2525E" w:rsidRDefault="00E2525E" w:rsidP="00C27C94">
      <w:pPr>
        <w:pStyle w:val="NoSpacing"/>
        <w:rPr>
          <w:rFonts w:cstheme="minorHAnsi"/>
          <w:sz w:val="24"/>
          <w:szCs w:val="24"/>
        </w:rPr>
      </w:pPr>
    </w:p>
    <w:p w:rsidR="00140624" w:rsidRPr="00CF1D29" w:rsidRDefault="00140624" w:rsidP="00C27C94">
      <w:pPr>
        <w:pStyle w:val="NoSpacing"/>
        <w:rPr>
          <w:rFonts w:cstheme="minorHAnsi"/>
          <w:sz w:val="24"/>
          <w:szCs w:val="24"/>
        </w:rPr>
      </w:pPr>
    </w:p>
    <w:tbl>
      <w:tblPr>
        <w:tblW w:w="87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80"/>
        <w:gridCol w:w="5910"/>
      </w:tblGrid>
      <w:tr w:rsidR="00140624" w:rsidRPr="00CF1D29" w:rsidTr="00E26679">
        <w:tc>
          <w:tcPr>
            <w:tcW w:w="8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140624" w:rsidRPr="00CF1D29" w:rsidRDefault="00140624" w:rsidP="00E2667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Upitnik za potencijalnu investiciju</w:t>
            </w:r>
          </w:p>
        </w:tc>
      </w:tr>
      <w:tr w:rsidR="00140624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624" w:rsidRPr="00CF1D29" w:rsidRDefault="00140624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Opština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624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b/>
                <w:i/>
                <w:iCs/>
                <w:szCs w:val="24"/>
              </w:rPr>
              <w:t>Grad Vranje</w:t>
            </w:r>
          </w:p>
        </w:tc>
      </w:tr>
      <w:tr w:rsidR="00140624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624" w:rsidRPr="00CF1D29" w:rsidRDefault="00140624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Naziv investicione mogućnosti/projekta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624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b/>
                <w:i/>
                <w:iCs/>
                <w:szCs w:val="24"/>
              </w:rPr>
              <w:t>Rekonstrukcija Multimedijskog-biznis centra u Vranju</w:t>
            </w:r>
          </w:p>
        </w:tc>
      </w:tr>
      <w:tr w:rsidR="00140624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624" w:rsidRPr="00CF1D29" w:rsidRDefault="00140624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Opis investicije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624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i/>
                <w:iCs/>
                <w:szCs w:val="24"/>
              </w:rPr>
              <w:t>Nekadašnji "Dom kulture" je projektovan početkom 70-tih godina, a njegova izgradnja je počela pre više od 40 godina. Inicijalno projektovan kao veliki objekat površine preko 15.000m2 (Po + P + 2), nikada nije stavljenu punu funkciju (koristi se svega oko 1/3 površine, uglavnom u administrativno delu).</w:t>
            </w:r>
          </w:p>
          <w:p w:rsidR="00140624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i/>
                <w:iCs/>
                <w:szCs w:val="24"/>
              </w:rPr>
              <w:t xml:space="preserve">Investicioni potencijal zgrade je odličan, zbog svog položaja u centru grada, nekoliko ulaza/izlaza i multifunkcionalnih celina.                                                                 </w:t>
            </w:r>
          </w:p>
          <w:p w:rsidR="00140624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i/>
                <w:iCs/>
                <w:szCs w:val="24"/>
              </w:rPr>
              <w:t xml:space="preserve">Grad Vranje je izradio tehničku dokumentaciju sa građevinskom dozvolom i potrebnim saglasnostima, čime su stvoreni tehnički preduslovi za faznu rekonstrukciju.                                                                                                                                 Multimedijski - biznis centar u skladu sa izrađenom tehničkom dokumentacijom predstavlja infrastrukturno zaokružen prostor sa različitim celinama za održavanje kongresa, prezentacija, sajmova, turističkih manifestacija, poslovni prostor za različite komercijalne, konsalting, finansijske i ostale delatnosti, medijske sadržaje, administrativni prostor itd.  </w:t>
            </w:r>
          </w:p>
        </w:tc>
      </w:tr>
      <w:tr w:rsidR="00140624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624" w:rsidRPr="00CF1D29" w:rsidRDefault="00140624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lastRenderedPageBreak/>
              <w:t>Postojeća dokumentacija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624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i/>
                <w:iCs/>
                <w:szCs w:val="24"/>
              </w:rPr>
              <w:t>Izrađena tehnička dokumentacija (PGD I PZI)</w:t>
            </w:r>
          </w:p>
          <w:p w:rsidR="00140624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i/>
                <w:iCs/>
                <w:szCs w:val="24"/>
              </w:rPr>
              <w:t>Izdata građevinska dozvola</w:t>
            </w:r>
          </w:p>
          <w:p w:rsidR="00140624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i/>
                <w:iCs/>
                <w:szCs w:val="24"/>
              </w:rPr>
              <w:t>Pribavljena PP saglasnost</w:t>
            </w:r>
          </w:p>
        </w:tc>
      </w:tr>
      <w:tr w:rsidR="00140624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624" w:rsidRPr="00CF1D29" w:rsidRDefault="00140624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 xml:space="preserve">Vlasnički status potencijalne investicije 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624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i/>
                <w:iCs/>
                <w:szCs w:val="24"/>
              </w:rPr>
              <w:t>Grad Vranje</w:t>
            </w:r>
          </w:p>
        </w:tc>
      </w:tr>
      <w:tr w:rsidR="00140624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624" w:rsidRPr="00CF1D29" w:rsidRDefault="00140624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Oblik sticanja prava korišćenja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624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i/>
                <w:iCs/>
                <w:szCs w:val="24"/>
              </w:rPr>
              <w:t>U skladu sa Ugovorom sa potencijalnim investitorom, moguć i  JPP</w:t>
            </w:r>
          </w:p>
        </w:tc>
      </w:tr>
      <w:tr w:rsidR="00140624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0624" w:rsidRPr="00CF1D29" w:rsidRDefault="00140624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Procenjena vrednost investicije</w:t>
            </w:r>
          </w:p>
        </w:tc>
        <w:tc>
          <w:tcPr>
            <w:tcW w:w="5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624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i/>
                <w:iCs/>
                <w:szCs w:val="24"/>
              </w:rPr>
              <w:t>6.300.000,00 EUR (bez PDV-a) – vrednost radova za stavljanje celog objekta u funkciju</w:t>
            </w:r>
          </w:p>
        </w:tc>
      </w:tr>
      <w:tr w:rsidR="00140624" w:rsidRPr="00CF1D29" w:rsidTr="00E26679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24" w:rsidRPr="00CF1D29" w:rsidRDefault="00140624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Postojeća infrastruktura</w:t>
            </w:r>
          </w:p>
        </w:tc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40624" w:rsidRPr="00E2525E" w:rsidRDefault="00A343D8" w:rsidP="00A343D8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i/>
                <w:iCs/>
                <w:szCs w:val="24"/>
              </w:rPr>
              <w:t>Postojeći objekat sa svim pratećim instalacijama i pristupnim saobraćajnicama</w:t>
            </w:r>
          </w:p>
        </w:tc>
      </w:tr>
      <w:tr w:rsidR="00140624" w:rsidRPr="00CF1D29" w:rsidTr="00E2667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24" w:rsidRPr="00CF1D29" w:rsidRDefault="00140624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Saobraćajna povezanost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D8" w:rsidRPr="00E2525E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E2525E">
              <w:rPr>
                <w:rFonts w:asciiTheme="minorHAnsi" w:hAnsiTheme="minorHAnsi" w:cstheme="minorHAnsi"/>
                <w:i/>
                <w:iCs/>
                <w:szCs w:val="24"/>
              </w:rPr>
              <w:t>Strogi centar grada</w:t>
            </w:r>
          </w:p>
        </w:tc>
      </w:tr>
      <w:tr w:rsidR="00140624" w:rsidRPr="00CF1D29" w:rsidTr="00E26679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624" w:rsidRPr="00CF1D29" w:rsidRDefault="00140624" w:rsidP="00E26679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CF1D29">
              <w:rPr>
                <w:rFonts w:asciiTheme="minorHAnsi" w:hAnsiTheme="minorHAnsi" w:cstheme="minorHAnsi"/>
                <w:b/>
                <w:szCs w:val="24"/>
              </w:rPr>
              <w:t>Ostale informacije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624" w:rsidRPr="00CF1D29" w:rsidRDefault="00140624" w:rsidP="00E266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i/>
                <w:iCs/>
                <w:color w:val="3366FF"/>
                <w:szCs w:val="24"/>
              </w:rPr>
            </w:pPr>
            <w:r w:rsidRPr="00805D1F">
              <w:rPr>
                <w:rFonts w:asciiTheme="minorHAnsi" w:hAnsiTheme="minorHAnsi" w:cstheme="minorHAnsi"/>
                <w:i/>
                <w:iCs/>
                <w:noProof/>
                <w:color w:val="3366FF"/>
                <w:szCs w:val="24"/>
                <w:lang w:eastAsia="en-US"/>
              </w:rPr>
              <w:drawing>
                <wp:inline distT="0" distB="0" distL="0" distR="0">
                  <wp:extent cx="4171950" cy="1571625"/>
                  <wp:effectExtent l="19050" t="0" r="0" b="0"/>
                  <wp:docPr id="11" name="Picture 1" descr="C:\Users\jpetrovic\Desktop\s-biznis-j-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jpetrovic\Desktop\s-biznis-j-s.jpg"/>
                          <pic:cNvPicPr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3CA" w:rsidRPr="00CF1D29" w:rsidRDefault="003843CA" w:rsidP="00C27C94">
      <w:pPr>
        <w:pStyle w:val="NoSpacing"/>
        <w:rPr>
          <w:rFonts w:cstheme="minorHAnsi"/>
          <w:sz w:val="24"/>
          <w:szCs w:val="24"/>
        </w:rPr>
      </w:pPr>
    </w:p>
    <w:sectPr w:rsidR="003843CA" w:rsidRPr="00CF1D29" w:rsidSect="007A24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3C" w:rsidRDefault="0049493C" w:rsidP="00272969">
      <w:pPr>
        <w:spacing w:after="0" w:line="240" w:lineRule="auto"/>
      </w:pPr>
      <w:r>
        <w:separator/>
      </w:r>
    </w:p>
  </w:endnote>
  <w:endnote w:type="continuationSeparator" w:id="0">
    <w:p w:rsidR="0049493C" w:rsidRDefault="0049493C" w:rsidP="0027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Narrow-Italic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3C" w:rsidRDefault="0049493C" w:rsidP="00272969">
      <w:pPr>
        <w:spacing w:after="0" w:line="240" w:lineRule="auto"/>
      </w:pPr>
      <w:r>
        <w:separator/>
      </w:r>
    </w:p>
  </w:footnote>
  <w:footnote w:type="continuationSeparator" w:id="0">
    <w:p w:rsidR="0049493C" w:rsidRDefault="0049493C" w:rsidP="0027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7B5"/>
    <w:multiLevelType w:val="hybridMultilevel"/>
    <w:tmpl w:val="873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247A"/>
    <w:multiLevelType w:val="hybridMultilevel"/>
    <w:tmpl w:val="2098DB22"/>
    <w:lvl w:ilvl="0" w:tplc="32B0F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88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EF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8A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EC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2D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0A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5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43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AD7E28"/>
    <w:multiLevelType w:val="hybridMultilevel"/>
    <w:tmpl w:val="E99EF63A"/>
    <w:lvl w:ilvl="0" w:tplc="4F945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C1FB9"/>
    <w:multiLevelType w:val="hybridMultilevel"/>
    <w:tmpl w:val="A484E7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45767"/>
    <w:multiLevelType w:val="hybridMultilevel"/>
    <w:tmpl w:val="88FE13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F0FC9"/>
    <w:multiLevelType w:val="hybridMultilevel"/>
    <w:tmpl w:val="4678DD3E"/>
    <w:lvl w:ilvl="0" w:tplc="D3C60A4C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B721A"/>
    <w:multiLevelType w:val="multilevel"/>
    <w:tmpl w:val="5242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57F18"/>
    <w:multiLevelType w:val="hybridMultilevel"/>
    <w:tmpl w:val="D3A85752"/>
    <w:lvl w:ilvl="0" w:tplc="08D66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F5C227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01C9C"/>
    <w:multiLevelType w:val="hybridMultilevel"/>
    <w:tmpl w:val="E842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7102B"/>
    <w:multiLevelType w:val="multilevel"/>
    <w:tmpl w:val="9300F3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8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880" w:hanging="1800"/>
      </w:pPr>
    </w:lvl>
    <w:lvl w:ilvl="5">
      <w:start w:val="1"/>
      <w:numFmt w:val="decimal"/>
      <w:isLgl/>
      <w:lvlText w:val="%1.%2.%3.%4.%5.%6."/>
      <w:lvlJc w:val="left"/>
      <w:pPr>
        <w:ind w:left="2880" w:hanging="1800"/>
      </w:pPr>
    </w:lvl>
    <w:lvl w:ilvl="6">
      <w:start w:val="1"/>
      <w:numFmt w:val="decimal"/>
      <w:isLgl/>
      <w:lvlText w:val="%1.%2.%3.%4.%5.%6.%7."/>
      <w:lvlJc w:val="left"/>
      <w:pPr>
        <w:ind w:left="3240" w:hanging="2160"/>
      </w:pPr>
    </w:lvl>
    <w:lvl w:ilvl="7">
      <w:start w:val="1"/>
      <w:numFmt w:val="decimal"/>
      <w:isLgl/>
      <w:lvlText w:val="%1.%2.%3.%4.%5.%6.%7.%8."/>
      <w:lvlJc w:val="left"/>
      <w:pPr>
        <w:ind w:left="3600" w:hanging="2520"/>
      </w:pPr>
    </w:lvl>
    <w:lvl w:ilvl="8">
      <w:start w:val="1"/>
      <w:numFmt w:val="decimal"/>
      <w:isLgl/>
      <w:lvlText w:val="%1.%2.%3.%4.%5.%6.%7.%8.%9."/>
      <w:lvlJc w:val="left"/>
      <w:pPr>
        <w:ind w:left="3960" w:hanging="2880"/>
      </w:pPr>
    </w:lvl>
  </w:abstractNum>
  <w:abstractNum w:abstractNumId="10">
    <w:nsid w:val="172462E7"/>
    <w:multiLevelType w:val="hybridMultilevel"/>
    <w:tmpl w:val="1032D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03F9D"/>
    <w:multiLevelType w:val="hybridMultilevel"/>
    <w:tmpl w:val="562AF6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754E0"/>
    <w:multiLevelType w:val="multilevel"/>
    <w:tmpl w:val="995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03ABF"/>
    <w:multiLevelType w:val="hybridMultilevel"/>
    <w:tmpl w:val="C81C6594"/>
    <w:lvl w:ilvl="0" w:tplc="4F945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5757B"/>
    <w:multiLevelType w:val="hybridMultilevel"/>
    <w:tmpl w:val="7EACFE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80BCE"/>
    <w:multiLevelType w:val="hybridMultilevel"/>
    <w:tmpl w:val="19403612"/>
    <w:lvl w:ilvl="0" w:tplc="A5567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2E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2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22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E2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4C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28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0E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E1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A67427"/>
    <w:multiLevelType w:val="hybridMultilevel"/>
    <w:tmpl w:val="930CAE8A"/>
    <w:lvl w:ilvl="0" w:tplc="E8BE59F0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3535A"/>
    <w:multiLevelType w:val="hybridMultilevel"/>
    <w:tmpl w:val="F2C2B3C0"/>
    <w:lvl w:ilvl="0" w:tplc="E8BE59F0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62AD0"/>
    <w:multiLevelType w:val="hybridMultilevel"/>
    <w:tmpl w:val="A6A4810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456A0"/>
    <w:multiLevelType w:val="hybridMultilevel"/>
    <w:tmpl w:val="F8C0844E"/>
    <w:lvl w:ilvl="0" w:tplc="E8BE59F0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147BF"/>
    <w:multiLevelType w:val="hybridMultilevel"/>
    <w:tmpl w:val="5246BEC2"/>
    <w:lvl w:ilvl="0" w:tplc="E8BE59F0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B1821"/>
    <w:multiLevelType w:val="hybridMultilevel"/>
    <w:tmpl w:val="9E56F994"/>
    <w:lvl w:ilvl="0" w:tplc="E8BE59F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E2F52"/>
    <w:multiLevelType w:val="hybridMultilevel"/>
    <w:tmpl w:val="D690DF44"/>
    <w:lvl w:ilvl="0" w:tplc="08D66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1FE0"/>
    <w:multiLevelType w:val="hybridMultilevel"/>
    <w:tmpl w:val="24728F3E"/>
    <w:lvl w:ilvl="0" w:tplc="D3C60A4C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42C64"/>
    <w:multiLevelType w:val="hybridMultilevel"/>
    <w:tmpl w:val="653413F2"/>
    <w:lvl w:ilvl="0" w:tplc="08D66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4481C40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472F8"/>
    <w:multiLevelType w:val="hybridMultilevel"/>
    <w:tmpl w:val="D3C47E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13838"/>
    <w:multiLevelType w:val="hybridMultilevel"/>
    <w:tmpl w:val="01B0389E"/>
    <w:lvl w:ilvl="0" w:tplc="E8BE59F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732A8"/>
    <w:multiLevelType w:val="multilevel"/>
    <w:tmpl w:val="1C3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997F90"/>
    <w:multiLevelType w:val="hybridMultilevel"/>
    <w:tmpl w:val="31166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556C1"/>
    <w:multiLevelType w:val="hybridMultilevel"/>
    <w:tmpl w:val="F86043BC"/>
    <w:lvl w:ilvl="0" w:tplc="E8BE59F0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8393D"/>
    <w:multiLevelType w:val="multilevel"/>
    <w:tmpl w:val="09043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ascii="Tahoma" w:hAnsi="Tahoma" w:cs="Tahoma" w:hint="default"/>
        <w:color w:val="2F5496" w:themeColor="accent1" w:themeShade="BF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31">
    <w:nsid w:val="61A07714"/>
    <w:multiLevelType w:val="hybridMultilevel"/>
    <w:tmpl w:val="25A6D390"/>
    <w:lvl w:ilvl="0" w:tplc="E8BE59F0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50B8D"/>
    <w:multiLevelType w:val="hybridMultilevel"/>
    <w:tmpl w:val="B5007122"/>
    <w:lvl w:ilvl="0" w:tplc="F0F804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9631A"/>
    <w:multiLevelType w:val="hybridMultilevel"/>
    <w:tmpl w:val="399CA312"/>
    <w:lvl w:ilvl="0" w:tplc="8D58EB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EC5C9E"/>
    <w:multiLevelType w:val="hybridMultilevel"/>
    <w:tmpl w:val="B082ED72"/>
    <w:lvl w:ilvl="0" w:tplc="08D66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57CC1"/>
    <w:multiLevelType w:val="hybridMultilevel"/>
    <w:tmpl w:val="A3BABFCA"/>
    <w:lvl w:ilvl="0" w:tplc="E8BE59F0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EE64F1"/>
    <w:multiLevelType w:val="hybridMultilevel"/>
    <w:tmpl w:val="22EAD7BC"/>
    <w:lvl w:ilvl="0" w:tplc="50AE8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C01170"/>
    <w:multiLevelType w:val="hybridMultilevel"/>
    <w:tmpl w:val="340AD58E"/>
    <w:lvl w:ilvl="0" w:tplc="08D66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F634C"/>
    <w:multiLevelType w:val="multilevel"/>
    <w:tmpl w:val="A8D8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86442C"/>
    <w:multiLevelType w:val="multilevel"/>
    <w:tmpl w:val="47563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0">
    <w:nsid w:val="72E809AE"/>
    <w:multiLevelType w:val="hybridMultilevel"/>
    <w:tmpl w:val="0FEAC2A2"/>
    <w:lvl w:ilvl="0" w:tplc="4F945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337BE"/>
    <w:multiLevelType w:val="hybridMultilevel"/>
    <w:tmpl w:val="63D2CF9E"/>
    <w:lvl w:ilvl="0" w:tplc="E8BE59F0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743244"/>
    <w:multiLevelType w:val="hybridMultilevel"/>
    <w:tmpl w:val="33A46C9A"/>
    <w:lvl w:ilvl="0" w:tplc="E8BE59F0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C76131"/>
    <w:multiLevelType w:val="hybridMultilevel"/>
    <w:tmpl w:val="099AA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97877"/>
    <w:multiLevelType w:val="hybridMultilevel"/>
    <w:tmpl w:val="6E58A2F0"/>
    <w:lvl w:ilvl="0" w:tplc="E8BE59F0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1"/>
  </w:num>
  <w:num w:numId="12">
    <w:abstractNumId w:val="26"/>
  </w:num>
  <w:num w:numId="13">
    <w:abstractNumId w:val="41"/>
  </w:num>
  <w:num w:numId="14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5"/>
  </w:num>
  <w:num w:numId="17">
    <w:abstractNumId w:val="18"/>
  </w:num>
  <w:num w:numId="18">
    <w:abstractNumId w:val="36"/>
  </w:num>
  <w:num w:numId="19">
    <w:abstractNumId w:val="22"/>
  </w:num>
  <w:num w:numId="20">
    <w:abstractNumId w:val="40"/>
  </w:num>
  <w:num w:numId="21">
    <w:abstractNumId w:val="19"/>
  </w:num>
  <w:num w:numId="22">
    <w:abstractNumId w:val="20"/>
  </w:num>
  <w:num w:numId="23">
    <w:abstractNumId w:val="29"/>
  </w:num>
  <w:num w:numId="24">
    <w:abstractNumId w:val="16"/>
  </w:num>
  <w:num w:numId="25">
    <w:abstractNumId w:val="17"/>
  </w:num>
  <w:num w:numId="26">
    <w:abstractNumId w:val="31"/>
  </w:num>
  <w:num w:numId="27">
    <w:abstractNumId w:val="10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8"/>
  </w:num>
  <w:num w:numId="34">
    <w:abstractNumId w:val="34"/>
  </w:num>
  <w:num w:numId="35">
    <w:abstractNumId w:val="35"/>
  </w:num>
  <w:num w:numId="36">
    <w:abstractNumId w:val="42"/>
  </w:num>
  <w:num w:numId="37">
    <w:abstractNumId w:val="44"/>
  </w:num>
  <w:num w:numId="38">
    <w:abstractNumId w:val="3"/>
  </w:num>
  <w:num w:numId="39">
    <w:abstractNumId w:val="11"/>
  </w:num>
  <w:num w:numId="40">
    <w:abstractNumId w:val="14"/>
  </w:num>
  <w:num w:numId="41">
    <w:abstractNumId w:val="15"/>
  </w:num>
  <w:num w:numId="42">
    <w:abstractNumId w:val="1"/>
  </w:num>
  <w:num w:numId="43">
    <w:abstractNumId w:val="28"/>
  </w:num>
  <w:num w:numId="44">
    <w:abstractNumId w:val="0"/>
  </w:num>
  <w:num w:numId="45">
    <w:abstractNumId w:val="27"/>
  </w:num>
  <w:num w:numId="46">
    <w:abstractNumId w:val="12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C94"/>
    <w:rsid w:val="00002B35"/>
    <w:rsid w:val="0000631E"/>
    <w:rsid w:val="000251B9"/>
    <w:rsid w:val="00035967"/>
    <w:rsid w:val="00053748"/>
    <w:rsid w:val="000676C7"/>
    <w:rsid w:val="00075032"/>
    <w:rsid w:val="0008142F"/>
    <w:rsid w:val="00085D83"/>
    <w:rsid w:val="000914FE"/>
    <w:rsid w:val="000A756B"/>
    <w:rsid w:val="000B2230"/>
    <w:rsid w:val="000B55C0"/>
    <w:rsid w:val="000C1B91"/>
    <w:rsid w:val="000C1CC3"/>
    <w:rsid w:val="000D0861"/>
    <w:rsid w:val="000D6163"/>
    <w:rsid w:val="000D6C5A"/>
    <w:rsid w:val="000E1CC6"/>
    <w:rsid w:val="000E5C8B"/>
    <w:rsid w:val="000E71B8"/>
    <w:rsid w:val="000F7FC5"/>
    <w:rsid w:val="00100981"/>
    <w:rsid w:val="00102245"/>
    <w:rsid w:val="00102E75"/>
    <w:rsid w:val="00105D45"/>
    <w:rsid w:val="00113A05"/>
    <w:rsid w:val="00113A91"/>
    <w:rsid w:val="001158F7"/>
    <w:rsid w:val="00121476"/>
    <w:rsid w:val="00121652"/>
    <w:rsid w:val="00121BA0"/>
    <w:rsid w:val="00140624"/>
    <w:rsid w:val="00141271"/>
    <w:rsid w:val="001547F2"/>
    <w:rsid w:val="0016062A"/>
    <w:rsid w:val="00160A38"/>
    <w:rsid w:val="00164831"/>
    <w:rsid w:val="001760B1"/>
    <w:rsid w:val="00176BE6"/>
    <w:rsid w:val="00177B48"/>
    <w:rsid w:val="00180BE3"/>
    <w:rsid w:val="00182837"/>
    <w:rsid w:val="0018359E"/>
    <w:rsid w:val="00186A95"/>
    <w:rsid w:val="00192D3D"/>
    <w:rsid w:val="00192E8F"/>
    <w:rsid w:val="001A786C"/>
    <w:rsid w:val="001B29DD"/>
    <w:rsid w:val="001C40C1"/>
    <w:rsid w:val="001D14AF"/>
    <w:rsid w:val="001D7BE0"/>
    <w:rsid w:val="001E25D1"/>
    <w:rsid w:val="001E2A6D"/>
    <w:rsid w:val="001E4CC1"/>
    <w:rsid w:val="001E6A75"/>
    <w:rsid w:val="001F57CB"/>
    <w:rsid w:val="001F6B03"/>
    <w:rsid w:val="00200B6B"/>
    <w:rsid w:val="002038DB"/>
    <w:rsid w:val="00206DCE"/>
    <w:rsid w:val="002113F5"/>
    <w:rsid w:val="00212E4C"/>
    <w:rsid w:val="0021421C"/>
    <w:rsid w:val="00214EBC"/>
    <w:rsid w:val="00231532"/>
    <w:rsid w:val="002323BE"/>
    <w:rsid w:val="002329E7"/>
    <w:rsid w:val="002419E4"/>
    <w:rsid w:val="0025070B"/>
    <w:rsid w:val="00254174"/>
    <w:rsid w:val="00260166"/>
    <w:rsid w:val="00262BB3"/>
    <w:rsid w:val="00271E12"/>
    <w:rsid w:val="00272969"/>
    <w:rsid w:val="002939DC"/>
    <w:rsid w:val="0029471A"/>
    <w:rsid w:val="002A0CBF"/>
    <w:rsid w:val="002A23ED"/>
    <w:rsid w:val="002A2F55"/>
    <w:rsid w:val="002A6180"/>
    <w:rsid w:val="002A77A4"/>
    <w:rsid w:val="002B37C2"/>
    <w:rsid w:val="002B4470"/>
    <w:rsid w:val="002C106E"/>
    <w:rsid w:val="002C57FE"/>
    <w:rsid w:val="002D3489"/>
    <w:rsid w:val="002D41FF"/>
    <w:rsid w:val="002D50F8"/>
    <w:rsid w:val="002E1702"/>
    <w:rsid w:val="002F06F6"/>
    <w:rsid w:val="002F10ED"/>
    <w:rsid w:val="002F43D9"/>
    <w:rsid w:val="00307E9C"/>
    <w:rsid w:val="00313736"/>
    <w:rsid w:val="00314933"/>
    <w:rsid w:val="00322460"/>
    <w:rsid w:val="003264F3"/>
    <w:rsid w:val="0033130A"/>
    <w:rsid w:val="0033279D"/>
    <w:rsid w:val="00341DB6"/>
    <w:rsid w:val="0035279B"/>
    <w:rsid w:val="00362F9A"/>
    <w:rsid w:val="003631E7"/>
    <w:rsid w:val="0037077F"/>
    <w:rsid w:val="0037221E"/>
    <w:rsid w:val="00381464"/>
    <w:rsid w:val="00383DB4"/>
    <w:rsid w:val="003843CA"/>
    <w:rsid w:val="0038663A"/>
    <w:rsid w:val="00386E78"/>
    <w:rsid w:val="003A0F81"/>
    <w:rsid w:val="003A4244"/>
    <w:rsid w:val="003A51B1"/>
    <w:rsid w:val="003A58DF"/>
    <w:rsid w:val="003B73D3"/>
    <w:rsid w:val="003C12E7"/>
    <w:rsid w:val="003C30B5"/>
    <w:rsid w:val="003C473C"/>
    <w:rsid w:val="003C503B"/>
    <w:rsid w:val="003D103E"/>
    <w:rsid w:val="003D5C2C"/>
    <w:rsid w:val="003E1A70"/>
    <w:rsid w:val="003E2252"/>
    <w:rsid w:val="003F16A4"/>
    <w:rsid w:val="003F259B"/>
    <w:rsid w:val="00404199"/>
    <w:rsid w:val="00404D6C"/>
    <w:rsid w:val="00405B2F"/>
    <w:rsid w:val="004076F3"/>
    <w:rsid w:val="00413AF5"/>
    <w:rsid w:val="00413AF6"/>
    <w:rsid w:val="004147AE"/>
    <w:rsid w:val="0041538C"/>
    <w:rsid w:val="00421D55"/>
    <w:rsid w:val="004268D0"/>
    <w:rsid w:val="00436E49"/>
    <w:rsid w:val="004542F4"/>
    <w:rsid w:val="00475C70"/>
    <w:rsid w:val="00482486"/>
    <w:rsid w:val="0049493C"/>
    <w:rsid w:val="0049569E"/>
    <w:rsid w:val="004976B6"/>
    <w:rsid w:val="004A6445"/>
    <w:rsid w:val="004A7F08"/>
    <w:rsid w:val="004B06D6"/>
    <w:rsid w:val="004B26B0"/>
    <w:rsid w:val="004B3851"/>
    <w:rsid w:val="004B7EB9"/>
    <w:rsid w:val="004C06BE"/>
    <w:rsid w:val="004C2905"/>
    <w:rsid w:val="004D0EE1"/>
    <w:rsid w:val="004D3C6B"/>
    <w:rsid w:val="004E0294"/>
    <w:rsid w:val="004E3D7B"/>
    <w:rsid w:val="004F196F"/>
    <w:rsid w:val="004F50E5"/>
    <w:rsid w:val="004F5D1C"/>
    <w:rsid w:val="00506D51"/>
    <w:rsid w:val="00512D98"/>
    <w:rsid w:val="00520640"/>
    <w:rsid w:val="00544D55"/>
    <w:rsid w:val="00553AA6"/>
    <w:rsid w:val="00555588"/>
    <w:rsid w:val="0055631A"/>
    <w:rsid w:val="005645B0"/>
    <w:rsid w:val="005655B2"/>
    <w:rsid w:val="0057164E"/>
    <w:rsid w:val="00572B6E"/>
    <w:rsid w:val="005731B6"/>
    <w:rsid w:val="0057471B"/>
    <w:rsid w:val="00584A4A"/>
    <w:rsid w:val="00586799"/>
    <w:rsid w:val="00587F1E"/>
    <w:rsid w:val="005A44A3"/>
    <w:rsid w:val="005A55F0"/>
    <w:rsid w:val="005C0790"/>
    <w:rsid w:val="005C6237"/>
    <w:rsid w:val="005C7721"/>
    <w:rsid w:val="005E019E"/>
    <w:rsid w:val="005E024F"/>
    <w:rsid w:val="005E372D"/>
    <w:rsid w:val="005F3434"/>
    <w:rsid w:val="005F5C84"/>
    <w:rsid w:val="005F7B5D"/>
    <w:rsid w:val="006021E3"/>
    <w:rsid w:val="00612F1B"/>
    <w:rsid w:val="006146DD"/>
    <w:rsid w:val="00617035"/>
    <w:rsid w:val="00617CCA"/>
    <w:rsid w:val="006200BA"/>
    <w:rsid w:val="00623907"/>
    <w:rsid w:val="006264A3"/>
    <w:rsid w:val="0063390A"/>
    <w:rsid w:val="00635D63"/>
    <w:rsid w:val="00641B93"/>
    <w:rsid w:val="00642D1D"/>
    <w:rsid w:val="006453DD"/>
    <w:rsid w:val="0064589E"/>
    <w:rsid w:val="006539E5"/>
    <w:rsid w:val="0065434F"/>
    <w:rsid w:val="00657EBA"/>
    <w:rsid w:val="00662EBE"/>
    <w:rsid w:val="00664A4B"/>
    <w:rsid w:val="006678E8"/>
    <w:rsid w:val="00672BB4"/>
    <w:rsid w:val="006857C3"/>
    <w:rsid w:val="0069384A"/>
    <w:rsid w:val="006A677B"/>
    <w:rsid w:val="006A7F9D"/>
    <w:rsid w:val="006B264B"/>
    <w:rsid w:val="006D6701"/>
    <w:rsid w:val="006D7D34"/>
    <w:rsid w:val="006F1CD8"/>
    <w:rsid w:val="006F45E7"/>
    <w:rsid w:val="006F6B7D"/>
    <w:rsid w:val="007004A3"/>
    <w:rsid w:val="00703823"/>
    <w:rsid w:val="00703C3A"/>
    <w:rsid w:val="00705EDB"/>
    <w:rsid w:val="00711975"/>
    <w:rsid w:val="00714699"/>
    <w:rsid w:val="00717373"/>
    <w:rsid w:val="007229D5"/>
    <w:rsid w:val="00724381"/>
    <w:rsid w:val="00726159"/>
    <w:rsid w:val="007331A4"/>
    <w:rsid w:val="00733917"/>
    <w:rsid w:val="00736E62"/>
    <w:rsid w:val="00737228"/>
    <w:rsid w:val="007377B8"/>
    <w:rsid w:val="00746380"/>
    <w:rsid w:val="0075390F"/>
    <w:rsid w:val="00761756"/>
    <w:rsid w:val="00772DBF"/>
    <w:rsid w:val="0077531B"/>
    <w:rsid w:val="00792D87"/>
    <w:rsid w:val="00794DC4"/>
    <w:rsid w:val="00795DF2"/>
    <w:rsid w:val="007A1ED2"/>
    <w:rsid w:val="007A24E7"/>
    <w:rsid w:val="007B2B88"/>
    <w:rsid w:val="007B4DCA"/>
    <w:rsid w:val="007C1321"/>
    <w:rsid w:val="007C19A3"/>
    <w:rsid w:val="007C25E3"/>
    <w:rsid w:val="007D2F96"/>
    <w:rsid w:val="007D472B"/>
    <w:rsid w:val="007E1274"/>
    <w:rsid w:val="007E42DD"/>
    <w:rsid w:val="007E5B3F"/>
    <w:rsid w:val="007F0805"/>
    <w:rsid w:val="00801391"/>
    <w:rsid w:val="00805D1F"/>
    <w:rsid w:val="00805D91"/>
    <w:rsid w:val="008126E6"/>
    <w:rsid w:val="00826AF3"/>
    <w:rsid w:val="00831BE8"/>
    <w:rsid w:val="008356C7"/>
    <w:rsid w:val="00836C86"/>
    <w:rsid w:val="0084031F"/>
    <w:rsid w:val="008526FD"/>
    <w:rsid w:val="008546CC"/>
    <w:rsid w:val="008551F1"/>
    <w:rsid w:val="00857720"/>
    <w:rsid w:val="00860C6F"/>
    <w:rsid w:val="00864E9B"/>
    <w:rsid w:val="00864F6D"/>
    <w:rsid w:val="00867817"/>
    <w:rsid w:val="00884511"/>
    <w:rsid w:val="0089106E"/>
    <w:rsid w:val="0089337B"/>
    <w:rsid w:val="00897AAC"/>
    <w:rsid w:val="008A2A23"/>
    <w:rsid w:val="008B7DF3"/>
    <w:rsid w:val="008B7E78"/>
    <w:rsid w:val="008C199D"/>
    <w:rsid w:val="008C684C"/>
    <w:rsid w:val="008D133A"/>
    <w:rsid w:val="008D2BB1"/>
    <w:rsid w:val="008D5C92"/>
    <w:rsid w:val="008D69C0"/>
    <w:rsid w:val="008D7DE7"/>
    <w:rsid w:val="008E0A97"/>
    <w:rsid w:val="008E0F05"/>
    <w:rsid w:val="008E12A9"/>
    <w:rsid w:val="008E4861"/>
    <w:rsid w:val="008F27C4"/>
    <w:rsid w:val="009040CF"/>
    <w:rsid w:val="0090604A"/>
    <w:rsid w:val="009067F6"/>
    <w:rsid w:val="00911200"/>
    <w:rsid w:val="00911BBC"/>
    <w:rsid w:val="009179B4"/>
    <w:rsid w:val="009275FA"/>
    <w:rsid w:val="00937208"/>
    <w:rsid w:val="00946721"/>
    <w:rsid w:val="0095018E"/>
    <w:rsid w:val="00955E0C"/>
    <w:rsid w:val="00956C41"/>
    <w:rsid w:val="009624AD"/>
    <w:rsid w:val="00962E6A"/>
    <w:rsid w:val="00971573"/>
    <w:rsid w:val="00972DA3"/>
    <w:rsid w:val="0097319E"/>
    <w:rsid w:val="0097443D"/>
    <w:rsid w:val="00987872"/>
    <w:rsid w:val="00990365"/>
    <w:rsid w:val="009A2F97"/>
    <w:rsid w:val="009B022E"/>
    <w:rsid w:val="009B1F84"/>
    <w:rsid w:val="009B3D9B"/>
    <w:rsid w:val="009C1ACC"/>
    <w:rsid w:val="009D04CD"/>
    <w:rsid w:val="009D4677"/>
    <w:rsid w:val="009E2959"/>
    <w:rsid w:val="009E3D3C"/>
    <w:rsid w:val="009F43F8"/>
    <w:rsid w:val="009F7599"/>
    <w:rsid w:val="00A025A0"/>
    <w:rsid w:val="00A106B3"/>
    <w:rsid w:val="00A1221E"/>
    <w:rsid w:val="00A12510"/>
    <w:rsid w:val="00A14E03"/>
    <w:rsid w:val="00A15DAF"/>
    <w:rsid w:val="00A16CF8"/>
    <w:rsid w:val="00A246DA"/>
    <w:rsid w:val="00A343D8"/>
    <w:rsid w:val="00A41071"/>
    <w:rsid w:val="00A41862"/>
    <w:rsid w:val="00A469F9"/>
    <w:rsid w:val="00A54FBC"/>
    <w:rsid w:val="00A56CBA"/>
    <w:rsid w:val="00A7001C"/>
    <w:rsid w:val="00A776BA"/>
    <w:rsid w:val="00A77F4D"/>
    <w:rsid w:val="00A860EB"/>
    <w:rsid w:val="00A9228F"/>
    <w:rsid w:val="00A9694E"/>
    <w:rsid w:val="00A97D75"/>
    <w:rsid w:val="00AA13A8"/>
    <w:rsid w:val="00AA2A21"/>
    <w:rsid w:val="00AA54D0"/>
    <w:rsid w:val="00AA798D"/>
    <w:rsid w:val="00AB1F00"/>
    <w:rsid w:val="00AC557A"/>
    <w:rsid w:val="00AC6BC6"/>
    <w:rsid w:val="00AC7D7A"/>
    <w:rsid w:val="00AE084D"/>
    <w:rsid w:val="00AE0F2E"/>
    <w:rsid w:val="00AE509D"/>
    <w:rsid w:val="00AF03F3"/>
    <w:rsid w:val="00AF7B70"/>
    <w:rsid w:val="00B0644D"/>
    <w:rsid w:val="00B116B5"/>
    <w:rsid w:val="00B11FFA"/>
    <w:rsid w:val="00B126BC"/>
    <w:rsid w:val="00B32CC7"/>
    <w:rsid w:val="00B32DB3"/>
    <w:rsid w:val="00B34C99"/>
    <w:rsid w:val="00B50760"/>
    <w:rsid w:val="00B508F0"/>
    <w:rsid w:val="00B52A00"/>
    <w:rsid w:val="00B53086"/>
    <w:rsid w:val="00B53DFB"/>
    <w:rsid w:val="00B563E1"/>
    <w:rsid w:val="00B63B8B"/>
    <w:rsid w:val="00B679F5"/>
    <w:rsid w:val="00B67D5A"/>
    <w:rsid w:val="00B73D28"/>
    <w:rsid w:val="00B75D4D"/>
    <w:rsid w:val="00B81C01"/>
    <w:rsid w:val="00B953C7"/>
    <w:rsid w:val="00B978BC"/>
    <w:rsid w:val="00BA2893"/>
    <w:rsid w:val="00BA3367"/>
    <w:rsid w:val="00BA5B47"/>
    <w:rsid w:val="00BA5D27"/>
    <w:rsid w:val="00BA7157"/>
    <w:rsid w:val="00BB4BB1"/>
    <w:rsid w:val="00BB7079"/>
    <w:rsid w:val="00BC7731"/>
    <w:rsid w:val="00BD1DDC"/>
    <w:rsid w:val="00BE258D"/>
    <w:rsid w:val="00BE3729"/>
    <w:rsid w:val="00BF5C93"/>
    <w:rsid w:val="00BF5DB9"/>
    <w:rsid w:val="00C04E91"/>
    <w:rsid w:val="00C122B3"/>
    <w:rsid w:val="00C170A1"/>
    <w:rsid w:val="00C27C94"/>
    <w:rsid w:val="00C4204C"/>
    <w:rsid w:val="00C44B4A"/>
    <w:rsid w:val="00C51FBB"/>
    <w:rsid w:val="00C532F2"/>
    <w:rsid w:val="00C549CB"/>
    <w:rsid w:val="00C56239"/>
    <w:rsid w:val="00C877E6"/>
    <w:rsid w:val="00C90596"/>
    <w:rsid w:val="00C947C7"/>
    <w:rsid w:val="00C97261"/>
    <w:rsid w:val="00CB27E9"/>
    <w:rsid w:val="00CC6AEA"/>
    <w:rsid w:val="00CD2704"/>
    <w:rsid w:val="00CD5174"/>
    <w:rsid w:val="00CD629A"/>
    <w:rsid w:val="00CE0117"/>
    <w:rsid w:val="00CE75DC"/>
    <w:rsid w:val="00CF1D29"/>
    <w:rsid w:val="00CF2215"/>
    <w:rsid w:val="00CF4FAB"/>
    <w:rsid w:val="00D009E8"/>
    <w:rsid w:val="00D04215"/>
    <w:rsid w:val="00D05B9B"/>
    <w:rsid w:val="00D17B8F"/>
    <w:rsid w:val="00D22D70"/>
    <w:rsid w:val="00D2393F"/>
    <w:rsid w:val="00D25BA3"/>
    <w:rsid w:val="00D41542"/>
    <w:rsid w:val="00D441DA"/>
    <w:rsid w:val="00D46F41"/>
    <w:rsid w:val="00D62791"/>
    <w:rsid w:val="00D72FE8"/>
    <w:rsid w:val="00D77D60"/>
    <w:rsid w:val="00D84446"/>
    <w:rsid w:val="00D85C02"/>
    <w:rsid w:val="00D90674"/>
    <w:rsid w:val="00D954A8"/>
    <w:rsid w:val="00DA05E2"/>
    <w:rsid w:val="00DA0604"/>
    <w:rsid w:val="00DA2CF7"/>
    <w:rsid w:val="00DB4E1C"/>
    <w:rsid w:val="00DB5269"/>
    <w:rsid w:val="00DC1393"/>
    <w:rsid w:val="00DC6578"/>
    <w:rsid w:val="00DD24AB"/>
    <w:rsid w:val="00DE54E0"/>
    <w:rsid w:val="00DF0AC4"/>
    <w:rsid w:val="00DF1C84"/>
    <w:rsid w:val="00DF2A89"/>
    <w:rsid w:val="00E00981"/>
    <w:rsid w:val="00E056AA"/>
    <w:rsid w:val="00E11C92"/>
    <w:rsid w:val="00E12BFF"/>
    <w:rsid w:val="00E150E2"/>
    <w:rsid w:val="00E16343"/>
    <w:rsid w:val="00E2525E"/>
    <w:rsid w:val="00E26679"/>
    <w:rsid w:val="00E304CB"/>
    <w:rsid w:val="00E30BD7"/>
    <w:rsid w:val="00E45A93"/>
    <w:rsid w:val="00E5127A"/>
    <w:rsid w:val="00E63001"/>
    <w:rsid w:val="00E6522B"/>
    <w:rsid w:val="00E75B5B"/>
    <w:rsid w:val="00E839EB"/>
    <w:rsid w:val="00E87E58"/>
    <w:rsid w:val="00EA6D0A"/>
    <w:rsid w:val="00EB0BF2"/>
    <w:rsid w:val="00EB5155"/>
    <w:rsid w:val="00EC0FD6"/>
    <w:rsid w:val="00EC217B"/>
    <w:rsid w:val="00EC26C1"/>
    <w:rsid w:val="00EC558A"/>
    <w:rsid w:val="00EC6C58"/>
    <w:rsid w:val="00ED2CA8"/>
    <w:rsid w:val="00EF07B0"/>
    <w:rsid w:val="00EF3F53"/>
    <w:rsid w:val="00EF4505"/>
    <w:rsid w:val="00F056E7"/>
    <w:rsid w:val="00F104BB"/>
    <w:rsid w:val="00F2105D"/>
    <w:rsid w:val="00F324D8"/>
    <w:rsid w:val="00F440B9"/>
    <w:rsid w:val="00F477A4"/>
    <w:rsid w:val="00F53F09"/>
    <w:rsid w:val="00F54548"/>
    <w:rsid w:val="00F63583"/>
    <w:rsid w:val="00F63EAB"/>
    <w:rsid w:val="00F64314"/>
    <w:rsid w:val="00F65F15"/>
    <w:rsid w:val="00F67DC3"/>
    <w:rsid w:val="00F74847"/>
    <w:rsid w:val="00F846BA"/>
    <w:rsid w:val="00F850C9"/>
    <w:rsid w:val="00F85D13"/>
    <w:rsid w:val="00F87029"/>
    <w:rsid w:val="00F96C09"/>
    <w:rsid w:val="00FA453C"/>
    <w:rsid w:val="00FB3E15"/>
    <w:rsid w:val="00FC01BB"/>
    <w:rsid w:val="00FC0371"/>
    <w:rsid w:val="00FC3728"/>
    <w:rsid w:val="00FC541F"/>
    <w:rsid w:val="00FD2DC6"/>
    <w:rsid w:val="00FE04AC"/>
    <w:rsid w:val="00FE0E05"/>
    <w:rsid w:val="00FF4EE9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9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0BD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BD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BD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C94"/>
    <w:pPr>
      <w:spacing w:after="0" w:line="240" w:lineRule="auto"/>
    </w:pPr>
  </w:style>
  <w:style w:type="paragraph" w:customStyle="1" w:styleId="TableContents">
    <w:name w:val="Table Contents"/>
    <w:basedOn w:val="Normal"/>
    <w:rsid w:val="00C27C9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E30B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B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B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30BD7"/>
    <w:pPr>
      <w:spacing w:after="160" w:line="256" w:lineRule="auto"/>
      <w:ind w:left="720"/>
      <w:contextualSpacing/>
    </w:pPr>
  </w:style>
  <w:style w:type="table" w:customStyle="1" w:styleId="ListTable4Accent5">
    <w:name w:val="List Table 4 Accent 5"/>
    <w:basedOn w:val="TableNormal"/>
    <w:uiPriority w:val="49"/>
    <w:rsid w:val="00E30B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72DA3"/>
    <w:rPr>
      <w:color w:val="0000FF"/>
      <w:u w:val="single"/>
    </w:rPr>
  </w:style>
  <w:style w:type="table" w:styleId="TableGrid">
    <w:name w:val="Table Grid"/>
    <w:basedOn w:val="TableNormal"/>
    <w:uiPriority w:val="39"/>
    <w:rsid w:val="0097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72DA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3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72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969"/>
  </w:style>
  <w:style w:type="paragraph" w:styleId="Footer">
    <w:name w:val="footer"/>
    <w:basedOn w:val="Normal"/>
    <w:link w:val="FooterChar"/>
    <w:uiPriority w:val="99"/>
    <w:semiHidden/>
    <w:unhideWhenUsed/>
    <w:rsid w:val="00272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969"/>
  </w:style>
  <w:style w:type="character" w:styleId="Emphasis">
    <w:name w:val="Emphasis"/>
    <w:basedOn w:val="DefaultParagraphFont"/>
    <w:uiPriority w:val="20"/>
    <w:qFormat/>
    <w:rsid w:val="00421D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ivreda.gov.rs/" TargetMode="External"/><Relationship Id="rId18" Type="http://schemas.openxmlformats.org/officeDocument/2006/relationships/hyperlink" Target="https://www.gisvranje.org.r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sz.gov.rs/live/trazite-posao/dok-trazite-posao/nezaposleni/zapo_ljavanje_stranaca_u_republici_srbiji___dozvole_za_rad.cid1719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vranjejls.org.rs/fascikla/skupstina-grada-3/plan-razvoja-grada-2021-203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ndzarazvoj.gov.rs/cir" TargetMode="External"/><Relationship Id="rId20" Type="http://schemas.openxmlformats.org/officeDocument/2006/relationships/hyperlink" Target="http://www.mup.gov.rs/wps/portal/sr/gradjani/Informacije%20za%20strance/!ut/p/z1/hZHbTsMwDIafppdZ3INKi4RQ0UqrHTQOK2y5QenI2rAuqdyDoE-_bgNxMdgi39j-7N92KKMLyhRvZcZrqRUven_J3DfT8q3YjmAyC617CMzZcJ6E09HcAfp6AGb-1DUjsMaRG1oQPF75w3Ho2V4MlJ2vf6GMslWDKFRNlzU24rvlmZp9S_jnBT8jnQHYpZXYJYkj8Lt1HJoQuI4bPQ1ty4nME-DkLL2NLjHPFe6hrNDp8SsCldpeRhmKtUCBgwb7cF7X5bUBBmzXfICVARUaINW7-ByUeWnARquuKTgqSUpdFbqVBvR-xzekIRWm8qPpA4cE6ThJNfKWb24LrrKb1Rf-pZvrqqaLox4tt8mWJAuQD_ld0U6CHWJWyDQ!/dz/d5/L0lHSkovd0RNQURrQUVnQSEhLzROVkUvc3JfUlNfI0xhdG4!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traga2.apr.gov.rs/APRMapePodsticaja/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nsz.gov.rs/" TargetMode="External"/><Relationship Id="rId23" Type="http://schemas.openxmlformats.org/officeDocument/2006/relationships/image" Target="media/image4.jpeg"/><Relationship Id="rId10" Type="http://schemas.openxmlformats.org/officeDocument/2006/relationships/chart" Target="charts/chart1.xml"/><Relationship Id="rId19" Type="http://schemas.openxmlformats.org/officeDocument/2006/relationships/hyperlink" Target="http://www.freezonevranje.com/tekst/pogodnosti/18/Lokacijske-pogod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stat.gov.rs/Home/Result/240204?languageCode=sr-Cyrl" TargetMode="External"/><Relationship Id="rId14" Type="http://schemas.openxmlformats.org/officeDocument/2006/relationships/hyperlink" Target="https://ras.gov.rs/podrska-investitorima/zasto-srbija/podsticaji-za-investiranje" TargetMode="Externa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8.8472138573297276E-2"/>
          <c:y val="0.16174875771378938"/>
          <c:w val="0.68123059426145649"/>
          <c:h val="0.54613313167222888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Nezaposleni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I sss</c:v>
                </c:pt>
                <c:pt idx="1">
                  <c:v>II sss</c:v>
                </c:pt>
                <c:pt idx="2">
                  <c:v>III sss</c:v>
                </c:pt>
                <c:pt idx="3">
                  <c:v>IV sss</c:v>
                </c:pt>
                <c:pt idx="4">
                  <c:v>V sss</c:v>
                </c:pt>
                <c:pt idx="5">
                  <c:v>VI - 1 sss</c:v>
                </c:pt>
                <c:pt idx="6">
                  <c:v>VI - 2 sss</c:v>
                </c:pt>
                <c:pt idx="7">
                  <c:v>VII - 1 sss</c:v>
                </c:pt>
                <c:pt idx="8">
                  <c:v>VII - 2 sss</c:v>
                </c:pt>
                <c:pt idx="9">
                  <c:v>VIII sss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 formatCode="#,##0">
                  <c:v>1662</c:v>
                </c:pt>
                <c:pt idx="1">
                  <c:v>384</c:v>
                </c:pt>
                <c:pt idx="2" formatCode="#,##0">
                  <c:v>1113</c:v>
                </c:pt>
                <c:pt idx="3" formatCode="#,##0">
                  <c:v>1603</c:v>
                </c:pt>
                <c:pt idx="4">
                  <c:v>16</c:v>
                </c:pt>
                <c:pt idx="5">
                  <c:v>194</c:v>
                </c:pt>
                <c:pt idx="6">
                  <c:v>220</c:v>
                </c:pt>
                <c:pt idx="7">
                  <c:v>628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axId val="83201408"/>
        <c:axId val="83232640"/>
      </c:barChart>
      <c:catAx>
        <c:axId val="83201408"/>
        <c:scaling>
          <c:orientation val="minMax"/>
        </c:scaling>
        <c:axPos val="b"/>
        <c:numFmt formatCode="General" sourceLinked="1"/>
        <c:tickLblPos val="nextTo"/>
        <c:crossAx val="83232640"/>
        <c:crosses val="autoZero"/>
        <c:auto val="1"/>
        <c:lblAlgn val="ctr"/>
        <c:lblOffset val="100"/>
      </c:catAx>
      <c:valAx>
        <c:axId val="83232640"/>
        <c:scaling>
          <c:orientation val="minMax"/>
        </c:scaling>
        <c:axPos val="l"/>
        <c:majorGridlines/>
        <c:numFmt formatCode="#,##0" sourceLinked="1"/>
        <c:tickLblPos val="nextTo"/>
        <c:crossAx val="83201408"/>
        <c:crosses val="autoZero"/>
        <c:crossBetween val="between"/>
      </c:valAx>
      <c:spPr>
        <a:noFill/>
        <a:ln w="25386">
          <a:noFill/>
        </a:ln>
      </c:spPr>
    </c:plotArea>
    <c:legend>
      <c:legendPos val="r"/>
    </c:legend>
    <c:plotVisOnly val="1"/>
    <c:dispBlanksAs val="gap"/>
  </c:chart>
  <c:txPr>
    <a:bodyPr/>
    <a:lstStyle/>
    <a:p>
      <a:pPr>
        <a:defRPr sz="1000">
          <a:solidFill>
            <a:sysClr val="windowText" lastClr="000000"/>
          </a:solidFill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25516-4E19-4315-845C-DAFD7FA6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5741</Words>
  <Characters>32727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 Jeremic</dc:creator>
  <cp:lastModifiedBy>bstankovic</cp:lastModifiedBy>
  <cp:revision>3</cp:revision>
  <dcterms:created xsi:type="dcterms:W3CDTF">2023-05-17T12:35:00Z</dcterms:created>
  <dcterms:modified xsi:type="dcterms:W3CDTF">2023-05-17T13:02:00Z</dcterms:modified>
</cp:coreProperties>
</file>